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0431" w14:textId="77777777" w:rsidR="0058381B" w:rsidRPr="00540151" w:rsidRDefault="0058381B" w:rsidP="0058381B">
      <w:pPr>
        <w:pStyle w:val="Heading5"/>
      </w:pPr>
      <w:r>
        <w:t xml:space="preserve">1.15      </w:t>
      </w:r>
      <w:r w:rsidRPr="00540151">
        <w:t xml:space="preserve">Financial assets </w:t>
      </w:r>
    </w:p>
    <w:p w14:paraId="7A4BB299" w14:textId="77777777" w:rsidR="0058381B" w:rsidRPr="001F045E" w:rsidRDefault="0058381B" w:rsidP="0058381B">
      <w:pPr>
        <w:ind w:firstLine="709"/>
        <w:rPr>
          <w:rFonts w:cs="Arial"/>
          <w:b/>
        </w:rPr>
      </w:pPr>
      <w:r w:rsidRPr="001F045E">
        <w:rPr>
          <w:rFonts w:cs="Arial"/>
          <w:b/>
        </w:rPr>
        <w:t>Contract assets and receivables</w:t>
      </w:r>
    </w:p>
    <w:p w14:paraId="450F9FE0" w14:textId="77777777" w:rsidR="0058381B" w:rsidRPr="001F045E" w:rsidRDefault="0058381B" w:rsidP="0058381B">
      <w:pPr>
        <w:spacing w:after="0" w:line="276" w:lineRule="auto"/>
        <w:ind w:left="709"/>
        <w:rPr>
          <w:rFonts w:cs="Arial"/>
        </w:rPr>
      </w:pPr>
      <w:r w:rsidRPr="001F045E">
        <w:rPr>
          <w:rFonts w:cs="Arial"/>
        </w:rPr>
        <w:t xml:space="preserve">A contract asset is recognised when </w:t>
      </w:r>
      <w:r w:rsidRPr="001F045E">
        <w:rPr>
          <w:rFonts w:cs="Arial"/>
          <w:i/>
          <w:iCs/>
        </w:rPr>
        <w:t>[reporting unit’s]</w:t>
      </w:r>
      <w:r w:rsidRPr="001F045E">
        <w:rPr>
          <w:rFonts w:cs="Arial"/>
        </w:rPr>
        <w:t xml:space="preserve"> right to consideration in exchange goods or services that has transferred to the customer when that right is conditioned on </w:t>
      </w:r>
      <w:r w:rsidRPr="001F045E">
        <w:rPr>
          <w:rFonts w:cs="Arial"/>
          <w:i/>
          <w:iCs/>
        </w:rPr>
        <w:t>[reporting unit’s]</w:t>
      </w:r>
      <w:r w:rsidRPr="001F045E">
        <w:rPr>
          <w:rFonts w:cs="Arial"/>
        </w:rPr>
        <w:t xml:space="preserve"> future performance or some other condition.</w:t>
      </w:r>
    </w:p>
    <w:p w14:paraId="03753DCE" w14:textId="77777777" w:rsidR="0058381B" w:rsidRPr="001F045E" w:rsidRDefault="0058381B" w:rsidP="0058381B">
      <w:pPr>
        <w:spacing w:after="0" w:line="276" w:lineRule="auto"/>
        <w:ind w:left="709"/>
        <w:rPr>
          <w:rFonts w:cs="Arial"/>
        </w:rPr>
      </w:pPr>
      <w:r w:rsidRPr="001F045E">
        <w:rPr>
          <w:rFonts w:cs="Arial"/>
        </w:rPr>
        <w:t>A receivable is recognised if an amount of consideration that is unconditional is due from the customer (i.e. only the passage of time is required before payment of the consideration is due).</w:t>
      </w:r>
    </w:p>
    <w:p w14:paraId="43D0AAC1" w14:textId="77777777" w:rsidR="0058381B" w:rsidRPr="001F045E" w:rsidRDefault="0058381B" w:rsidP="0058381B">
      <w:pPr>
        <w:spacing w:after="0" w:line="276" w:lineRule="auto"/>
        <w:ind w:left="709"/>
      </w:pPr>
      <w:r w:rsidRPr="001F045E">
        <w:rPr>
          <w:rFonts w:cs="Arial"/>
        </w:rPr>
        <w:t>Contract assets and receivables are subject to impairment assessment. Refer to accounting policies on impairment of financial assets below.</w:t>
      </w:r>
    </w:p>
    <w:p w14:paraId="37337A51" w14:textId="77777777" w:rsidR="0058381B" w:rsidRPr="001F045E" w:rsidRDefault="0058381B" w:rsidP="0058381B">
      <w:pPr>
        <w:ind w:left="709" w:right="113"/>
        <w:rPr>
          <w:rFonts w:cs="Arial"/>
          <w:b/>
        </w:rPr>
      </w:pPr>
      <w:r w:rsidRPr="001F045E">
        <w:rPr>
          <w:rFonts w:cs="Arial"/>
          <w:b/>
        </w:rPr>
        <w:t>Initial recognition and measurement</w:t>
      </w:r>
    </w:p>
    <w:p w14:paraId="4CE844D9" w14:textId="77777777" w:rsidR="0058381B" w:rsidRPr="001F045E" w:rsidRDefault="0058381B" w:rsidP="0058381B">
      <w:pPr>
        <w:spacing w:after="0" w:line="276" w:lineRule="auto"/>
        <w:ind w:left="709"/>
      </w:pPr>
      <w:r w:rsidRPr="001F045E">
        <w:t>Financial assets are classified, at initial recognition, and subsequently measured at amortised cost, fair value through other comprehensive income, or fair value through profit or loss.</w:t>
      </w:r>
    </w:p>
    <w:p w14:paraId="05A6275B" w14:textId="77777777" w:rsidR="0058381B" w:rsidRPr="001F045E" w:rsidRDefault="0058381B" w:rsidP="0058381B">
      <w:pPr>
        <w:spacing w:after="0" w:line="276" w:lineRule="auto"/>
        <w:ind w:left="709"/>
      </w:pPr>
      <w:r w:rsidRPr="001F045E">
        <w:t xml:space="preserve">The classification of financial assets at initial recognition depends on the financial asset’s contractual cash flow characteristics and </w:t>
      </w:r>
      <w:r w:rsidRPr="001F045E">
        <w:rPr>
          <w:i/>
          <w:iCs/>
        </w:rPr>
        <w:t>[reporting unit’s]</w:t>
      </w:r>
      <w:r w:rsidRPr="001F045E">
        <w:t xml:space="preserve"> business model for managing them. </w:t>
      </w:r>
      <w:proofErr w:type="gramStart"/>
      <w:r w:rsidRPr="001F045E">
        <w:t>With the exception of</w:t>
      </w:r>
      <w:proofErr w:type="gramEnd"/>
      <w:r w:rsidRPr="001F045E">
        <w:t xml:space="preserve"> trade receivables that do not contain a significant financing component, </w:t>
      </w:r>
      <w:r w:rsidRPr="001F045E">
        <w:rPr>
          <w:i/>
          <w:iCs/>
        </w:rPr>
        <w:t>[reporting unit]</w:t>
      </w:r>
      <w:r w:rsidRPr="001F045E">
        <w:t xml:space="preserve"> initially measures a financial asset at its fair value plus, in the case of a financial asset not at fair value through profit or loss, transaction costs.</w:t>
      </w:r>
    </w:p>
    <w:p w14:paraId="52407E76" w14:textId="77777777" w:rsidR="0058381B" w:rsidRPr="001F045E" w:rsidRDefault="0058381B" w:rsidP="0058381B">
      <w:pPr>
        <w:spacing w:after="0" w:line="276" w:lineRule="auto"/>
        <w:ind w:left="709"/>
      </w:pPr>
      <w:proofErr w:type="gramStart"/>
      <w:r w:rsidRPr="001F045E">
        <w:t>In order for</w:t>
      </w:r>
      <w:proofErr w:type="gramEnd"/>
      <w:r w:rsidRPr="001F045E">
        <w:t xml:space="preserve"> a financial asset to be classified and measured at amortised cost or </w:t>
      </w:r>
      <w:r>
        <w:t>fair value through other comprehensive income</w:t>
      </w:r>
      <w:r w:rsidRPr="001F045E">
        <w:t>, it needs to give rise to cash flows that are ‘solely payments of principal and interest’ (</w:t>
      </w:r>
      <w:r w:rsidRPr="00E53A43">
        <w:rPr>
          <w:b/>
        </w:rPr>
        <w:t>SPPI</w:t>
      </w:r>
      <w:r w:rsidRPr="001F045E">
        <w:t>) on the principal amount outstanding. This assessment is referred to as the SPPI test and is performed at an instrument level.</w:t>
      </w:r>
    </w:p>
    <w:p w14:paraId="0F405BBF" w14:textId="77777777" w:rsidR="0058381B" w:rsidRPr="001F045E" w:rsidRDefault="0058381B" w:rsidP="0058381B">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unit’s]</w:t>
      </w:r>
      <w:r w:rsidRPr="001F045E">
        <w:rPr>
          <w:rFonts w:cs="Arial"/>
          <w:color w:val="000000" w:themeColor="text1"/>
        </w:rPr>
        <w:t xml:space="preserve"> business model for managing financial assets refers to how it manages its financial assets </w:t>
      </w:r>
      <w:proofErr w:type="gramStart"/>
      <w:r w:rsidRPr="001F045E">
        <w:rPr>
          <w:rFonts w:cs="Arial"/>
          <w:color w:val="000000" w:themeColor="text1"/>
        </w:rPr>
        <w:t>in order to</w:t>
      </w:r>
      <w:proofErr w:type="gramEnd"/>
      <w:r w:rsidRPr="001F045E">
        <w:rPr>
          <w:rFonts w:cs="Arial"/>
          <w:color w:val="000000" w:themeColor="text1"/>
        </w:rPr>
        <w:t xml:space="preserve"> generate cash flows. The business model determines whether cash flows will result from collecting contractual cash flows, selling the financial assets, or both.</w:t>
      </w:r>
    </w:p>
    <w:p w14:paraId="330C70ED"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Purchases or sales of financial assets that require delivery of assets within a time frame established by regulation or convention in the </w:t>
      </w:r>
      <w:proofErr w:type="gramStart"/>
      <w:r w:rsidRPr="001F045E">
        <w:rPr>
          <w:rFonts w:cs="Arial"/>
          <w:color w:val="000000" w:themeColor="text1"/>
        </w:rPr>
        <w:t>market place</w:t>
      </w:r>
      <w:proofErr w:type="gramEnd"/>
      <w:r w:rsidRPr="001F045E">
        <w:rPr>
          <w:rFonts w:cs="Arial"/>
          <w:color w:val="000000" w:themeColor="text1"/>
        </w:rPr>
        <w:t xml:space="preserve"> (regular way trades) are recognised on the trade date, i.e. the date that </w:t>
      </w:r>
      <w:r w:rsidRPr="001F045E">
        <w:rPr>
          <w:rFonts w:cs="Arial"/>
          <w:i/>
          <w:iCs/>
          <w:color w:val="000000" w:themeColor="text1"/>
        </w:rPr>
        <w:t>[reporting unit]</w:t>
      </w:r>
      <w:r w:rsidRPr="001F045E">
        <w:rPr>
          <w:rFonts w:cs="Arial"/>
          <w:color w:val="000000" w:themeColor="text1"/>
        </w:rPr>
        <w:t xml:space="preserve"> commits to purchase or sell the asset.</w:t>
      </w:r>
    </w:p>
    <w:p w14:paraId="7F54F2F5" w14:textId="77777777" w:rsidR="0058381B" w:rsidRPr="001F045E" w:rsidRDefault="0058381B" w:rsidP="0058381B">
      <w:pPr>
        <w:ind w:left="709"/>
        <w:rPr>
          <w:rFonts w:cs="Arial"/>
          <w:b/>
          <w:color w:val="000000" w:themeColor="text1"/>
        </w:rPr>
      </w:pPr>
      <w:r w:rsidRPr="001F045E">
        <w:rPr>
          <w:rFonts w:cs="Arial"/>
          <w:b/>
          <w:color w:val="000000" w:themeColor="text1"/>
        </w:rPr>
        <w:t>Subsequent measurement</w:t>
      </w:r>
    </w:p>
    <w:p w14:paraId="78F9B06A"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For purposes of subsequent measurement, financial assets are classified in</w:t>
      </w:r>
      <w:r>
        <w:rPr>
          <w:rFonts w:cs="Arial"/>
          <w:color w:val="000000" w:themeColor="text1"/>
        </w:rPr>
        <w:t>to</w:t>
      </w:r>
      <w:r w:rsidRPr="001F045E">
        <w:rPr>
          <w:rFonts w:cs="Arial"/>
          <w:color w:val="000000" w:themeColor="text1"/>
        </w:rPr>
        <w:t xml:space="preserve"> five categories:</w:t>
      </w:r>
    </w:p>
    <w:p w14:paraId="1DF1C5D3" w14:textId="77777777" w:rsidR="0058381B" w:rsidRPr="001F045E" w:rsidRDefault="0058381B" w:rsidP="0058381B">
      <w:pPr>
        <w:pStyle w:val="Bullet1"/>
        <w:numPr>
          <w:ilvl w:val="0"/>
          <w:numId w:val="30"/>
        </w:numPr>
        <w:spacing w:before="160" w:after="0" w:line="276" w:lineRule="auto"/>
        <w:ind w:left="1560" w:hanging="284"/>
      </w:pPr>
      <w:r w:rsidRPr="001F045E">
        <w:t>(Other) financial assets at amortised cost</w:t>
      </w:r>
    </w:p>
    <w:p w14:paraId="7A35F6EC" w14:textId="77777777" w:rsidR="00B51A2A" w:rsidRDefault="00B51A2A" w:rsidP="0058381B">
      <w:pPr>
        <w:pStyle w:val="Bullet1"/>
        <w:numPr>
          <w:ilvl w:val="0"/>
          <w:numId w:val="30"/>
        </w:numPr>
        <w:spacing w:before="160" w:after="0" w:line="276" w:lineRule="auto"/>
        <w:ind w:left="1560" w:hanging="284"/>
        <w:sectPr w:rsidR="00B51A2A" w:rsidSect="00D90E57">
          <w:footerReference w:type="default" r:id="rId11"/>
          <w:headerReference w:type="first" r:id="rId12"/>
          <w:footerReference w:type="first" r:id="rId13"/>
          <w:type w:val="continuous"/>
          <w:pgSz w:w="11906" w:h="16838" w:code="9"/>
          <w:pgMar w:top="2807" w:right="992" w:bottom="1673" w:left="992" w:header="454" w:footer="624" w:gutter="0"/>
          <w:cols w:space="708"/>
          <w:titlePg/>
          <w:docGrid w:linePitch="360"/>
        </w:sectPr>
      </w:pPr>
    </w:p>
    <w:p w14:paraId="5F3EF81B" w14:textId="77777777" w:rsidR="0058381B" w:rsidRPr="001F045E" w:rsidRDefault="0058381B" w:rsidP="0058381B">
      <w:pPr>
        <w:pStyle w:val="Bullet1"/>
        <w:numPr>
          <w:ilvl w:val="0"/>
          <w:numId w:val="30"/>
        </w:numPr>
        <w:spacing w:before="160" w:after="0" w:line="276" w:lineRule="auto"/>
        <w:ind w:left="1560" w:hanging="284"/>
      </w:pPr>
      <w:r w:rsidRPr="001F045E">
        <w:lastRenderedPageBreak/>
        <w:t xml:space="preserve">(Other) financial assets at </w:t>
      </w:r>
      <w:r>
        <w:t>fair value through other comprehensive income</w:t>
      </w:r>
    </w:p>
    <w:p w14:paraId="0DC11674" w14:textId="77777777" w:rsidR="0058381B" w:rsidRPr="001F045E" w:rsidRDefault="0058381B" w:rsidP="0058381B">
      <w:pPr>
        <w:pStyle w:val="Bullet1"/>
        <w:numPr>
          <w:ilvl w:val="0"/>
          <w:numId w:val="30"/>
        </w:numPr>
        <w:spacing w:before="160" w:after="0" w:line="276" w:lineRule="auto"/>
        <w:ind w:left="1560" w:hanging="284"/>
      </w:pPr>
      <w:r w:rsidRPr="001F045E">
        <w:t xml:space="preserve">Investments in equity instruments designated at </w:t>
      </w:r>
      <w:r>
        <w:t xml:space="preserve">fair value through other comprehensive </w:t>
      </w:r>
      <w:proofErr w:type="gramStart"/>
      <w:r>
        <w:t>income</w:t>
      </w:r>
      <w:proofErr w:type="gramEnd"/>
    </w:p>
    <w:p w14:paraId="4387102B" w14:textId="77777777" w:rsidR="0058381B" w:rsidRPr="001F045E" w:rsidRDefault="0058381B" w:rsidP="0058381B">
      <w:pPr>
        <w:pStyle w:val="Bullet1"/>
        <w:numPr>
          <w:ilvl w:val="0"/>
          <w:numId w:val="30"/>
        </w:numPr>
        <w:spacing w:before="160" w:after="0" w:line="276" w:lineRule="auto"/>
        <w:ind w:left="1560" w:hanging="284"/>
      </w:pPr>
      <w:r w:rsidRPr="001F045E">
        <w:t xml:space="preserve">(Other) financial assets at </w:t>
      </w:r>
      <w:r>
        <w:t>fair value through profit or loss</w:t>
      </w:r>
    </w:p>
    <w:p w14:paraId="2F842C05" w14:textId="77777777" w:rsidR="0058381B" w:rsidRPr="001F045E" w:rsidRDefault="0058381B" w:rsidP="0058381B">
      <w:pPr>
        <w:pStyle w:val="Bullet1"/>
        <w:numPr>
          <w:ilvl w:val="0"/>
          <w:numId w:val="30"/>
        </w:numPr>
        <w:spacing w:before="160" w:after="0" w:line="276" w:lineRule="auto"/>
        <w:ind w:left="1560" w:hanging="284"/>
        <w:rPr>
          <w:rFonts w:cs="Arial"/>
          <w:b/>
          <w:i/>
        </w:rPr>
      </w:pPr>
      <w:r w:rsidRPr="001F045E">
        <w:t xml:space="preserve">(Other) financial assets designated at </w:t>
      </w:r>
      <w:r>
        <w:t>fair value through profit or loss.</w:t>
      </w:r>
    </w:p>
    <w:p w14:paraId="7C9992F4" w14:textId="77777777" w:rsidR="0058381B" w:rsidRPr="001F045E" w:rsidRDefault="0058381B" w:rsidP="0058381B">
      <w:pPr>
        <w:spacing w:line="276" w:lineRule="auto"/>
        <w:ind w:left="709"/>
        <w:rPr>
          <w:rFonts w:cs="Arial"/>
          <w:color w:val="000000" w:themeColor="text1"/>
        </w:rPr>
      </w:pPr>
      <w:r w:rsidRPr="001F045E">
        <w:rPr>
          <w:rFonts w:cs="Arial"/>
          <w:b/>
          <w:color w:val="000000" w:themeColor="text1"/>
        </w:rPr>
        <w:t>Financial assets at amortised cost</w:t>
      </w:r>
    </w:p>
    <w:p w14:paraId="2AA7A45C" w14:textId="77777777" w:rsidR="0058381B" w:rsidRPr="001F045E" w:rsidRDefault="0058381B" w:rsidP="0058381B">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color w:val="000000" w:themeColor="text1"/>
        </w:rPr>
        <w:t xml:space="preserve"> measures financial assets at amortised cost if both of the following conditions are met:</w:t>
      </w:r>
    </w:p>
    <w:p w14:paraId="7C5931DD" w14:textId="77777777" w:rsidR="0058381B" w:rsidRPr="001F045E" w:rsidRDefault="0058381B" w:rsidP="0058381B">
      <w:pPr>
        <w:pStyle w:val="Bullet1"/>
        <w:numPr>
          <w:ilvl w:val="0"/>
          <w:numId w:val="30"/>
        </w:numPr>
        <w:spacing w:before="160" w:after="0" w:line="276" w:lineRule="auto"/>
        <w:ind w:left="1560" w:hanging="284"/>
      </w:pPr>
      <w:r w:rsidRPr="001F045E">
        <w:t xml:space="preserve">The financial asset is held within a business model with the objective to hold financial assets </w:t>
      </w:r>
      <w:proofErr w:type="gramStart"/>
      <w:r w:rsidRPr="001F045E">
        <w:t>in order to</w:t>
      </w:r>
      <w:proofErr w:type="gramEnd"/>
      <w:r w:rsidRPr="001F045E">
        <w:t xml:space="preserve"> collect contractual cash flows</w:t>
      </w:r>
      <w:r>
        <w:t>;</w:t>
      </w:r>
      <w:r w:rsidRPr="001F045E">
        <w:t xml:space="preserve"> and </w:t>
      </w:r>
    </w:p>
    <w:p w14:paraId="04DAE054" w14:textId="77777777" w:rsidR="0058381B" w:rsidRPr="001F045E" w:rsidRDefault="0058381B" w:rsidP="0058381B">
      <w:pPr>
        <w:pStyle w:val="Bullet1"/>
        <w:numPr>
          <w:ilvl w:val="0"/>
          <w:numId w:val="30"/>
        </w:numPr>
        <w:spacing w:before="160" w:after="0" w:line="276" w:lineRule="auto"/>
        <w:ind w:left="1560" w:hanging="284"/>
      </w:pPr>
      <w:r w:rsidRPr="001F045E">
        <w:t>The contractual terms of the financial asset give rise on specified dates to cash flows that are solely payments of principal and interest on the principal amount outstanding</w:t>
      </w:r>
      <w:r>
        <w:t>.</w:t>
      </w:r>
    </w:p>
    <w:p w14:paraId="5BDC9F80"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Financial assets at amortised cost are subsequently measured using the effective interest</w:t>
      </w:r>
      <w:r>
        <w:rPr>
          <w:rFonts w:cs="Arial"/>
          <w:color w:val="000000" w:themeColor="text1"/>
        </w:rPr>
        <w:t xml:space="preserve"> rate</w:t>
      </w:r>
      <w:r w:rsidRPr="001F045E">
        <w:rPr>
          <w:rFonts w:cs="Arial"/>
          <w:color w:val="000000" w:themeColor="text1"/>
        </w:rPr>
        <w:t xml:space="preserve"> (</w:t>
      </w:r>
      <w:r w:rsidRPr="00E53A43">
        <w:rPr>
          <w:rFonts w:cs="Arial"/>
          <w:b/>
          <w:color w:val="000000" w:themeColor="text1"/>
        </w:rPr>
        <w:t>EIR</w:t>
      </w:r>
      <w:r w:rsidRPr="001F045E">
        <w:rPr>
          <w:rFonts w:cs="Arial"/>
          <w:color w:val="000000" w:themeColor="text1"/>
        </w:rPr>
        <w:t xml:space="preserve">) method and are subject to impairment. Gains and losses are recognised in profit or loss when the asset is derecognised, </w:t>
      </w:r>
      <w:proofErr w:type="gramStart"/>
      <w:r w:rsidRPr="001F045E">
        <w:rPr>
          <w:rFonts w:cs="Arial"/>
          <w:color w:val="000000" w:themeColor="text1"/>
        </w:rPr>
        <w:t>modified</w:t>
      </w:r>
      <w:proofErr w:type="gramEnd"/>
      <w:r w:rsidRPr="001F045E">
        <w:rPr>
          <w:rFonts w:cs="Arial"/>
          <w:color w:val="000000" w:themeColor="text1"/>
        </w:rPr>
        <w:t xml:space="preserve"> or impaired.</w:t>
      </w:r>
    </w:p>
    <w:p w14:paraId="39DFD90D" w14:textId="77777777" w:rsidR="0058381B" w:rsidRDefault="0058381B" w:rsidP="0058381B">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i/>
          <w:color w:val="000000" w:themeColor="text1"/>
        </w:rPr>
        <w:t>’s</w:t>
      </w:r>
      <w:r>
        <w:rPr>
          <w:rFonts w:cs="Arial"/>
          <w:i/>
          <w:color w:val="000000" w:themeColor="text1"/>
        </w:rPr>
        <w:t>]</w:t>
      </w:r>
      <w:r w:rsidRPr="001F045E">
        <w:rPr>
          <w:rFonts w:cs="Arial"/>
          <w:color w:val="000000" w:themeColor="text1"/>
        </w:rPr>
        <w:t xml:space="preserve"> financial assets at amortised cost includes trade receivables and loans to related parties.</w:t>
      </w:r>
    </w:p>
    <w:p w14:paraId="5B96A29C" w14:textId="77777777" w:rsidR="0058381B" w:rsidRPr="001F045E" w:rsidRDefault="0058381B" w:rsidP="0058381B">
      <w:pPr>
        <w:ind w:left="709"/>
        <w:rPr>
          <w:rFonts w:cs="Arial"/>
          <w:color w:val="000000" w:themeColor="text1"/>
        </w:rPr>
      </w:pPr>
      <w:r w:rsidRPr="001F045E">
        <w:rPr>
          <w:rFonts w:cs="Arial"/>
          <w:b/>
          <w:color w:val="000000" w:themeColor="text1"/>
        </w:rPr>
        <w:t xml:space="preserve">Financial assets at fair value through other comprehensive income </w:t>
      </w:r>
    </w:p>
    <w:p w14:paraId="3CE9212D" w14:textId="77777777" w:rsidR="0058381B" w:rsidRPr="001F045E" w:rsidRDefault="0058381B" w:rsidP="0058381B">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color w:val="000000" w:themeColor="text1"/>
        </w:rPr>
        <w:t xml:space="preserve"> measures debt instruments at </w:t>
      </w:r>
      <w:r>
        <w:rPr>
          <w:rFonts w:cs="Arial"/>
          <w:color w:val="000000" w:themeColor="text1"/>
        </w:rPr>
        <w:t>fair value through other comprehensive income (</w:t>
      </w:r>
      <w:r w:rsidRPr="00282712">
        <w:rPr>
          <w:rFonts w:cs="Arial"/>
          <w:b/>
          <w:bCs/>
          <w:color w:val="000000" w:themeColor="text1"/>
        </w:rPr>
        <w:t>OCI</w:t>
      </w:r>
      <w:r>
        <w:rPr>
          <w:rFonts w:cs="Arial"/>
          <w:color w:val="000000" w:themeColor="text1"/>
        </w:rPr>
        <w:t>)</w:t>
      </w:r>
      <w:r w:rsidRPr="001F045E">
        <w:rPr>
          <w:rFonts w:cs="Arial"/>
          <w:color w:val="000000" w:themeColor="text1"/>
        </w:rPr>
        <w:t xml:space="preserve"> if both of the following conditions are met:</w:t>
      </w:r>
    </w:p>
    <w:p w14:paraId="56AA8168" w14:textId="77777777" w:rsidR="0058381B" w:rsidRPr="001F045E" w:rsidRDefault="0058381B" w:rsidP="0058381B">
      <w:pPr>
        <w:pStyle w:val="Bullet1"/>
        <w:numPr>
          <w:ilvl w:val="0"/>
          <w:numId w:val="30"/>
        </w:numPr>
        <w:spacing w:before="160" w:after="0" w:line="276" w:lineRule="auto"/>
        <w:ind w:left="1560" w:hanging="284"/>
      </w:pPr>
      <w:r w:rsidRPr="001F045E">
        <w:t>The financial asset is held within a business model with the objective of both holding to collect contractual cash flows and selling</w:t>
      </w:r>
      <w:r>
        <w:t>;</w:t>
      </w:r>
      <w:r w:rsidRPr="001F045E">
        <w:t xml:space="preserve"> and</w:t>
      </w:r>
    </w:p>
    <w:p w14:paraId="66334640" w14:textId="77777777" w:rsidR="0058381B" w:rsidRPr="001F045E" w:rsidRDefault="0058381B" w:rsidP="0058381B">
      <w:pPr>
        <w:pStyle w:val="Bullet1"/>
        <w:numPr>
          <w:ilvl w:val="0"/>
          <w:numId w:val="30"/>
        </w:numPr>
        <w:spacing w:before="160" w:after="0" w:line="276" w:lineRule="auto"/>
        <w:ind w:left="1560" w:hanging="284"/>
      </w:pPr>
      <w:r w:rsidRPr="001F045E">
        <w:t>The contractual terms of the financial asset give rise on specified dates to cash flows that are solely payments of principal and interest on the principal amount outstanding</w:t>
      </w:r>
      <w:r>
        <w:t>.</w:t>
      </w:r>
    </w:p>
    <w:p w14:paraId="581AEC6D"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For debt instruments at </w:t>
      </w:r>
      <w:r>
        <w:rPr>
          <w:rFonts w:cs="Arial"/>
          <w:color w:val="000000" w:themeColor="text1"/>
        </w:rPr>
        <w:t>fair value through other comprehensive income</w:t>
      </w:r>
      <w:r w:rsidRPr="001F045E">
        <w:rPr>
          <w:rFonts w:cs="Arial"/>
          <w:color w:val="000000" w:themeColor="text1"/>
        </w:rPr>
        <w:t xml:space="preserve">, interest income, foreign exchange revaluation and impairment losses or reversals are recognised in profit or loss and computed in the same manner as for financial assets measured at amortised cost. </w:t>
      </w:r>
    </w:p>
    <w:p w14:paraId="1BECF003"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The remaining fair value changes are recognised in </w:t>
      </w:r>
      <w:r w:rsidRPr="008E5B14">
        <w:rPr>
          <w:rFonts w:cs="Arial"/>
          <w:color w:val="000000" w:themeColor="text1"/>
        </w:rPr>
        <w:t>OCI</w:t>
      </w:r>
      <w:r w:rsidRPr="001F045E">
        <w:rPr>
          <w:rFonts w:cs="Arial"/>
          <w:color w:val="000000" w:themeColor="text1"/>
        </w:rPr>
        <w:t>. Upon derecognition, the cumulative fair value change recognised in OCI is recycled to profit or loss.</w:t>
      </w:r>
    </w:p>
    <w:p w14:paraId="6BC05178" w14:textId="77777777" w:rsidR="0058381B" w:rsidRPr="001F045E" w:rsidRDefault="0058381B" w:rsidP="0058381B">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unit’s]</w:t>
      </w:r>
      <w:r w:rsidRPr="001F045E">
        <w:rPr>
          <w:rFonts w:cs="Arial"/>
          <w:color w:val="000000" w:themeColor="text1"/>
        </w:rPr>
        <w:t xml:space="preserve"> debt instruments at </w:t>
      </w:r>
      <w:r>
        <w:rPr>
          <w:rFonts w:cs="Arial"/>
          <w:color w:val="000000" w:themeColor="text1"/>
        </w:rPr>
        <w:t>fair value through other comprehensive income</w:t>
      </w:r>
      <w:r w:rsidRPr="001F045E">
        <w:rPr>
          <w:rFonts w:cs="Arial"/>
          <w:color w:val="000000" w:themeColor="text1"/>
        </w:rPr>
        <w:t xml:space="preserve"> includes investments in quoted debt instruments included under other non-current financial assets.</w:t>
      </w:r>
    </w:p>
    <w:p w14:paraId="4C025324" w14:textId="77777777" w:rsidR="0058381B" w:rsidRPr="001F045E" w:rsidRDefault="0058381B" w:rsidP="0058381B">
      <w:pPr>
        <w:ind w:left="709"/>
        <w:rPr>
          <w:rFonts w:cs="Arial"/>
          <w:b/>
          <w:color w:val="000000" w:themeColor="text1"/>
        </w:rPr>
      </w:pPr>
      <w:r w:rsidRPr="001F045E">
        <w:rPr>
          <w:rFonts w:cs="Arial"/>
          <w:b/>
          <w:color w:val="000000" w:themeColor="text1"/>
        </w:rPr>
        <w:t xml:space="preserve">Investments in equity instruments designated at fair value through other comprehensive </w:t>
      </w:r>
      <w:proofErr w:type="gramStart"/>
      <w:r w:rsidRPr="001F045E">
        <w:rPr>
          <w:rFonts w:cs="Arial"/>
          <w:b/>
          <w:color w:val="000000" w:themeColor="text1"/>
        </w:rPr>
        <w:t>income</w:t>
      </w:r>
      <w:proofErr w:type="gramEnd"/>
      <w:r w:rsidRPr="001F045E">
        <w:rPr>
          <w:rFonts w:cs="Arial"/>
          <w:b/>
          <w:color w:val="000000" w:themeColor="text1"/>
        </w:rPr>
        <w:t xml:space="preserve"> </w:t>
      </w:r>
    </w:p>
    <w:p w14:paraId="103C714F"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Upon initial recognition, </w:t>
      </w:r>
      <w:r w:rsidRPr="001F045E">
        <w:rPr>
          <w:rFonts w:cs="Arial"/>
          <w:i/>
          <w:iCs/>
          <w:color w:val="000000" w:themeColor="text1"/>
        </w:rPr>
        <w:t>[reporting unit]</w:t>
      </w:r>
      <w:r w:rsidRPr="001F045E">
        <w:rPr>
          <w:rFonts w:cs="Arial"/>
          <w:color w:val="000000" w:themeColor="text1"/>
        </w:rPr>
        <w:t xml:space="preserve"> can elect to classify irrevocably its equity investments as equity instruments designated at </w:t>
      </w:r>
      <w:r>
        <w:rPr>
          <w:rFonts w:cs="Arial"/>
          <w:color w:val="000000" w:themeColor="text1"/>
        </w:rPr>
        <w:t>fair value through other comprehensive income</w:t>
      </w:r>
      <w:r w:rsidRPr="001F045E">
        <w:rPr>
          <w:rFonts w:cs="Arial"/>
          <w:color w:val="000000" w:themeColor="text1"/>
        </w:rPr>
        <w:t xml:space="preserve"> when they meet the </w:t>
      </w:r>
      <w:r w:rsidRPr="001F045E">
        <w:rPr>
          <w:rFonts w:cs="Arial"/>
          <w:color w:val="000000" w:themeColor="text1"/>
        </w:rPr>
        <w:lastRenderedPageBreak/>
        <w:t>definition of equity under AASB</w:t>
      </w:r>
      <w:r>
        <w:rPr>
          <w:rFonts w:cs="Arial"/>
          <w:color w:val="000000" w:themeColor="text1"/>
        </w:rPr>
        <w:t xml:space="preserve"> </w:t>
      </w:r>
      <w:r w:rsidRPr="001F045E">
        <w:rPr>
          <w:rFonts w:cs="Arial"/>
          <w:color w:val="000000" w:themeColor="text1"/>
        </w:rPr>
        <w:t xml:space="preserve">132 </w:t>
      </w:r>
      <w:r w:rsidRPr="001F045E">
        <w:rPr>
          <w:rFonts w:cs="Arial"/>
          <w:i/>
          <w:color w:val="000000" w:themeColor="text1"/>
        </w:rPr>
        <w:t>Financial Instruments: Presentation</w:t>
      </w:r>
      <w:r w:rsidRPr="001F045E">
        <w:rPr>
          <w:rFonts w:cs="Arial"/>
          <w:color w:val="000000" w:themeColor="text1"/>
        </w:rPr>
        <w:t xml:space="preserve"> and are not held for trading. The classification is determined on an instrument-by-instrument basis. </w:t>
      </w:r>
    </w:p>
    <w:p w14:paraId="79D3A662"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Gains and losses on these financial assets are never recycled to profit or loss. Dividends are recognised as other income in profit or loss when the right of payment has been established, except when </w:t>
      </w:r>
      <w:r w:rsidRPr="001F045E">
        <w:rPr>
          <w:rFonts w:cs="Arial"/>
          <w:i/>
          <w:iCs/>
          <w:color w:val="000000" w:themeColor="text1"/>
        </w:rPr>
        <w:t>[reporting unit]</w:t>
      </w:r>
      <w:r w:rsidRPr="001F045E">
        <w:rPr>
          <w:rFonts w:cs="Arial"/>
          <w:color w:val="000000" w:themeColor="text1"/>
        </w:rPr>
        <w:t xml:space="preserve"> benefits from such proceeds as a recovery of part of the cost of the financial asset, in which case, such gains are recorded in OCI. Equity instruments designated at </w:t>
      </w:r>
      <w:r>
        <w:rPr>
          <w:rFonts w:cs="Arial"/>
          <w:color w:val="000000" w:themeColor="text1"/>
        </w:rPr>
        <w:t>fair value through other comprehensive income</w:t>
      </w:r>
      <w:r w:rsidRPr="001F045E">
        <w:rPr>
          <w:rFonts w:cs="Arial"/>
          <w:color w:val="000000" w:themeColor="text1"/>
        </w:rPr>
        <w:t xml:space="preserve"> are not subject to impairment assessment.</w:t>
      </w:r>
    </w:p>
    <w:p w14:paraId="47A2F0C4" w14:textId="77777777" w:rsidR="0058381B" w:rsidRPr="001F045E" w:rsidRDefault="0058381B" w:rsidP="0058381B">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color w:val="000000" w:themeColor="text1"/>
        </w:rPr>
        <w:t xml:space="preserve"> elected to classify irrevocably its listed and non-listed equity investments under this category.</w:t>
      </w:r>
    </w:p>
    <w:p w14:paraId="50FB7016" w14:textId="77777777" w:rsidR="0058381B" w:rsidRPr="001F045E" w:rsidRDefault="0058381B" w:rsidP="0058381B">
      <w:pPr>
        <w:ind w:left="709"/>
        <w:rPr>
          <w:rFonts w:cs="Arial"/>
          <w:color w:val="000000" w:themeColor="text1"/>
        </w:rPr>
      </w:pPr>
      <w:r w:rsidRPr="001F045E">
        <w:rPr>
          <w:rFonts w:cs="Arial"/>
          <w:b/>
          <w:color w:val="000000" w:themeColor="text1"/>
        </w:rPr>
        <w:t xml:space="preserve">Financial assets at fair value through profit or loss (including designated) </w:t>
      </w:r>
    </w:p>
    <w:p w14:paraId="5907D083"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Financial assets at</w:t>
      </w:r>
      <w:r>
        <w:rPr>
          <w:rFonts w:cs="Arial"/>
          <w:color w:val="000000" w:themeColor="text1"/>
        </w:rPr>
        <w:t xml:space="preserve"> fair value through profit or loss </w:t>
      </w:r>
      <w:r w:rsidRPr="001F045E">
        <w:rPr>
          <w:rFonts w:cs="Arial"/>
          <w:color w:val="000000" w:themeColor="text1"/>
        </w:rPr>
        <w:t xml:space="preserve">include financial assets held for trading, financial assets designated upon initial recognition at </w:t>
      </w:r>
      <w:r>
        <w:rPr>
          <w:rFonts w:cs="Arial"/>
          <w:color w:val="000000" w:themeColor="text1"/>
        </w:rPr>
        <w:t>fair value through profit or loss</w:t>
      </w:r>
      <w:r w:rsidRPr="001F045E">
        <w:rPr>
          <w:rFonts w:cs="Arial"/>
          <w:color w:val="000000" w:themeColor="text1"/>
        </w:rPr>
        <w:t xml:space="preserve">, or financial assets mandatorily required to be measured at fair value. Financial assets are classified as held for trading if they are acquired for the purpose of selling or repurchasing in the near term. Derivatives, including separated embedded derivatives, are also classified as held for trading unless they are designated as effective hedging instruments. Financial assets with cash flows that are not solely payments of principal and interest are classified and measured at </w:t>
      </w:r>
      <w:r>
        <w:rPr>
          <w:rFonts w:cs="Arial"/>
          <w:color w:val="000000" w:themeColor="text1"/>
        </w:rPr>
        <w:t>fair value through profit or loss</w:t>
      </w:r>
      <w:r w:rsidRPr="001F045E">
        <w:rPr>
          <w:rFonts w:cs="Arial"/>
          <w:color w:val="000000" w:themeColor="text1"/>
        </w:rPr>
        <w:t xml:space="preserve">, irrespective of the business model. Notwithstanding the criteria for debt instruments to be classified at amortised cost or at </w:t>
      </w:r>
      <w:r>
        <w:rPr>
          <w:rFonts w:cs="Arial"/>
          <w:color w:val="000000" w:themeColor="text1"/>
        </w:rPr>
        <w:t>fair value through other comprehensive income</w:t>
      </w:r>
      <w:r w:rsidRPr="001F045E">
        <w:rPr>
          <w:rFonts w:cs="Arial"/>
          <w:color w:val="000000" w:themeColor="text1"/>
        </w:rPr>
        <w:t xml:space="preserve">, as described above, debt instruments may be designated at </w:t>
      </w:r>
      <w:r>
        <w:rPr>
          <w:rFonts w:cs="Arial"/>
          <w:color w:val="000000" w:themeColor="text1"/>
        </w:rPr>
        <w:t xml:space="preserve">fair value through profit or loss </w:t>
      </w:r>
      <w:r w:rsidRPr="001F045E">
        <w:rPr>
          <w:rFonts w:cs="Arial"/>
          <w:color w:val="000000" w:themeColor="text1"/>
        </w:rPr>
        <w:t>on initial recognition if doing so eliminates, or significantly reduces, an accounting mismatch.</w:t>
      </w:r>
    </w:p>
    <w:p w14:paraId="1BD7073C"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Financial assets at </w:t>
      </w:r>
      <w:r>
        <w:rPr>
          <w:rFonts w:cs="Arial"/>
          <w:color w:val="000000" w:themeColor="text1"/>
        </w:rPr>
        <w:t xml:space="preserve">fair value through profit or loss </w:t>
      </w:r>
      <w:r w:rsidRPr="001F045E">
        <w:rPr>
          <w:rFonts w:cs="Arial"/>
          <w:color w:val="000000" w:themeColor="text1"/>
        </w:rPr>
        <w:t>are carried in the statement of financial position at fair value with net changes in fair value recognised in profit or loss.</w:t>
      </w:r>
    </w:p>
    <w:p w14:paraId="233D53E1" w14:textId="77777777" w:rsidR="0058381B" w:rsidRPr="001F045E" w:rsidRDefault="0058381B" w:rsidP="0058381B">
      <w:pPr>
        <w:ind w:left="709"/>
        <w:rPr>
          <w:rFonts w:cs="Arial"/>
          <w:b/>
          <w:color w:val="000000" w:themeColor="text1"/>
        </w:rPr>
      </w:pPr>
      <w:r w:rsidRPr="001F045E">
        <w:rPr>
          <w:rFonts w:cs="Arial"/>
          <w:b/>
          <w:color w:val="000000" w:themeColor="text1"/>
        </w:rPr>
        <w:t>Derecognition</w:t>
      </w:r>
    </w:p>
    <w:p w14:paraId="02C7925E"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A financial asset is derecognised when: </w:t>
      </w:r>
    </w:p>
    <w:p w14:paraId="3D46D965" w14:textId="77777777" w:rsidR="0058381B" w:rsidRPr="001F045E" w:rsidRDefault="0058381B" w:rsidP="0058381B">
      <w:pPr>
        <w:pStyle w:val="Bullet1"/>
        <w:numPr>
          <w:ilvl w:val="0"/>
          <w:numId w:val="30"/>
        </w:numPr>
        <w:spacing w:before="160" w:after="0" w:line="276" w:lineRule="auto"/>
        <w:ind w:left="1560" w:hanging="284"/>
        <w:rPr>
          <w:b/>
        </w:rPr>
      </w:pPr>
      <w:r w:rsidRPr="001F045E">
        <w:t>The rights to receive cash flows from the asset have expired</w:t>
      </w:r>
      <w:r>
        <w:t>;</w:t>
      </w:r>
      <w:r w:rsidRPr="001F045E">
        <w:t xml:space="preserve"> or</w:t>
      </w:r>
    </w:p>
    <w:p w14:paraId="620EC8D7" w14:textId="77777777" w:rsidR="0058381B" w:rsidRPr="001F045E" w:rsidRDefault="0058381B" w:rsidP="0058381B">
      <w:pPr>
        <w:pStyle w:val="Bullet1"/>
        <w:numPr>
          <w:ilvl w:val="0"/>
          <w:numId w:val="30"/>
        </w:numPr>
        <w:spacing w:before="160" w:after="0" w:line="276" w:lineRule="auto"/>
        <w:ind w:left="1560" w:hanging="284"/>
        <w:rPr>
          <w:b/>
        </w:rPr>
      </w:pPr>
      <w:r w:rsidRPr="001F045E">
        <w:rPr>
          <w:i/>
          <w:iCs/>
        </w:rPr>
        <w:t>[</w:t>
      </w:r>
      <w:r>
        <w:rPr>
          <w:i/>
          <w:iCs/>
        </w:rPr>
        <w:t>R</w:t>
      </w:r>
      <w:r w:rsidRPr="001F045E">
        <w:rPr>
          <w:i/>
          <w:iCs/>
        </w:rPr>
        <w:t>eporting unit]</w:t>
      </w:r>
      <w:r w:rsidRPr="001F045E">
        <w:t xml:space="preserve"> has transferred its rights to receive cash flows from the asset or has assumed an obligation to pay the received cash flows in full without material delay to a third party under a ‘pass-through’ arrangement; and either:</w:t>
      </w:r>
    </w:p>
    <w:p w14:paraId="6C3BC615" w14:textId="77777777" w:rsidR="0058381B" w:rsidRPr="001F045E" w:rsidRDefault="0058381B" w:rsidP="0058381B">
      <w:pPr>
        <w:pStyle w:val="List1Numbered2"/>
        <w:numPr>
          <w:ilvl w:val="1"/>
          <w:numId w:val="31"/>
        </w:numPr>
        <w:spacing w:after="0" w:line="276" w:lineRule="auto"/>
        <w:ind w:left="1843" w:hanging="284"/>
      </w:pPr>
      <w:r w:rsidRPr="00540151">
        <w:rPr>
          <w:i/>
          <w:iCs/>
        </w:rPr>
        <w:t>[reporting unit]</w:t>
      </w:r>
      <w:r w:rsidRPr="001F045E">
        <w:t xml:space="preserve"> has transferred substantially all the risks and rewards of the asset</w:t>
      </w:r>
      <w:r>
        <w:t>;</w:t>
      </w:r>
      <w:r w:rsidRPr="001F045E">
        <w:t xml:space="preserve"> or </w:t>
      </w:r>
    </w:p>
    <w:p w14:paraId="4C2AF5A2" w14:textId="77777777" w:rsidR="0058381B" w:rsidRPr="001F045E" w:rsidRDefault="0058381B" w:rsidP="0058381B">
      <w:pPr>
        <w:pStyle w:val="List1Numbered2"/>
        <w:tabs>
          <w:tab w:val="clear" w:pos="851"/>
        </w:tabs>
        <w:spacing w:after="0" w:line="276" w:lineRule="auto"/>
        <w:ind w:left="1843" w:hanging="284"/>
      </w:pPr>
      <w:r w:rsidRPr="001F045E">
        <w:rPr>
          <w:i/>
          <w:iCs/>
        </w:rPr>
        <w:t>[reporting unit]</w:t>
      </w:r>
      <w:r w:rsidRPr="001F045E">
        <w:t xml:space="preserve"> has neither transferred nor retained substantially all the risks and rewards of the asset but has transferred control of the asset.</w:t>
      </w:r>
    </w:p>
    <w:p w14:paraId="271E382C"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When </w:t>
      </w:r>
      <w:r w:rsidRPr="001F045E">
        <w:rPr>
          <w:rFonts w:cs="Arial"/>
          <w:i/>
          <w:iCs/>
          <w:color w:val="000000" w:themeColor="text1"/>
        </w:rPr>
        <w:t>[reporting unit]</w:t>
      </w:r>
      <w:r w:rsidRPr="001F045E">
        <w:rPr>
          <w:rFonts w:cs="Arial"/>
          <w:color w:val="000000" w:themeColor="text1"/>
        </w:rPr>
        <w:t xml:space="preserve"> has transferred its rights to receive cash flows from an asset or has </w:t>
      </w:r>
      <w:proofErr w:type="gramStart"/>
      <w:r w:rsidRPr="001F045E">
        <w:rPr>
          <w:rFonts w:cs="Arial"/>
          <w:color w:val="000000" w:themeColor="text1"/>
        </w:rPr>
        <w:t>entered into</w:t>
      </w:r>
      <w:proofErr w:type="gramEnd"/>
      <w:r w:rsidRPr="001F045E">
        <w:rPr>
          <w:rFonts w:cs="Arial"/>
          <w:color w:val="000000" w:themeColor="text1"/>
        </w:rPr>
        <w:t xml:space="preserve"> a pass-through arrangement, it evaluates if, and to what extent, it has retained the risks and rewards of ownership. </w:t>
      </w:r>
    </w:p>
    <w:p w14:paraId="4D5DAE2D" w14:textId="77777777" w:rsidR="0058381B" w:rsidRPr="001F045E" w:rsidRDefault="0058381B" w:rsidP="0058381B">
      <w:pPr>
        <w:spacing w:after="0" w:line="276" w:lineRule="auto"/>
        <w:ind w:left="709"/>
        <w:rPr>
          <w:rFonts w:cs="Arial"/>
          <w:color w:val="000000" w:themeColor="text1"/>
        </w:rPr>
      </w:pPr>
      <w:r w:rsidRPr="001F045E">
        <w:rPr>
          <w:rFonts w:cs="Arial"/>
          <w:color w:val="000000" w:themeColor="text1"/>
        </w:rPr>
        <w:t xml:space="preserve">When it has neither transferred nor retained substantially </w:t>
      </w:r>
      <w:proofErr w:type="gramStart"/>
      <w:r w:rsidRPr="001F045E">
        <w:rPr>
          <w:rFonts w:cs="Arial"/>
          <w:color w:val="000000" w:themeColor="text1"/>
        </w:rPr>
        <w:t>all of</w:t>
      </w:r>
      <w:proofErr w:type="gramEnd"/>
      <w:r w:rsidRPr="001F045E">
        <w:rPr>
          <w:rFonts w:cs="Arial"/>
          <w:color w:val="000000" w:themeColor="text1"/>
        </w:rPr>
        <w:t xml:space="preserve"> the risks and rewards of the asset, nor transferred control of the asset, </w:t>
      </w:r>
      <w:r w:rsidRPr="001F045E">
        <w:rPr>
          <w:rFonts w:cs="Arial"/>
          <w:i/>
          <w:iCs/>
          <w:color w:val="000000" w:themeColor="text1"/>
        </w:rPr>
        <w:t>[reporting unit]</w:t>
      </w:r>
      <w:r w:rsidRPr="001F045E">
        <w:rPr>
          <w:rFonts w:cs="Arial"/>
          <w:color w:val="000000" w:themeColor="text1"/>
        </w:rPr>
        <w:t xml:space="preserve"> continues to recognise the transferred asset to the extent of its continuing involvement together with associated liability. </w:t>
      </w:r>
    </w:p>
    <w:p w14:paraId="1DEFC50C" w14:textId="77777777" w:rsidR="0058381B" w:rsidRPr="00E032C5" w:rsidRDefault="0058381B" w:rsidP="0058381B">
      <w:pPr>
        <w:ind w:left="709"/>
        <w:rPr>
          <w:b/>
          <w:bCs/>
        </w:rPr>
      </w:pPr>
      <w:r w:rsidRPr="00E032C5">
        <w:rPr>
          <w:b/>
          <w:bCs/>
        </w:rPr>
        <w:lastRenderedPageBreak/>
        <w:t>Offsetting</w:t>
      </w:r>
    </w:p>
    <w:p w14:paraId="126728E4" w14:textId="77777777" w:rsidR="0058381B" w:rsidRDefault="0058381B" w:rsidP="0058381B">
      <w:pPr>
        <w:spacing w:after="0" w:line="276" w:lineRule="auto"/>
        <w:ind w:left="709" w:right="113"/>
        <w:rPr>
          <w:rFonts w:cs="Arial"/>
          <w:color w:val="000000" w:themeColor="text1"/>
        </w:rPr>
      </w:pPr>
      <w:r w:rsidRPr="001F045E">
        <w:rPr>
          <w:rFonts w:cs="Arial"/>
          <w:color w:val="000000" w:themeColor="text1"/>
        </w:rPr>
        <w:t xml:space="preserve">Financial assets and financial liabilities are </w:t>
      </w:r>
      <w:proofErr w:type="gramStart"/>
      <w:r w:rsidRPr="001F045E">
        <w:rPr>
          <w:rFonts w:cs="Arial"/>
          <w:color w:val="000000" w:themeColor="text1"/>
        </w:rPr>
        <w:t>offset</w:t>
      </w:r>
      <w:proofErr w:type="gramEnd"/>
      <w:r w:rsidRPr="001F045E">
        <w:rPr>
          <w:rFonts w:cs="Arial"/>
          <w:color w:val="000000" w:themeColor="text1"/>
        </w:rPr>
        <w:t xml:space="preserve"> and the net amount is reported in the statement of financial position if there is a currently enforceable legal right to offset the recognised amounts and there is an intention to settle on a net basis, to realise the assets and settle the liabilities simultaneously.</w:t>
      </w:r>
    </w:p>
    <w:p w14:paraId="1A9869E7" w14:textId="77777777" w:rsidR="0058381B" w:rsidRPr="00E032C5" w:rsidRDefault="0058381B" w:rsidP="0058381B">
      <w:pPr>
        <w:ind w:left="709"/>
        <w:rPr>
          <w:b/>
          <w:bCs/>
        </w:rPr>
      </w:pPr>
      <w:r w:rsidRPr="00E032C5">
        <w:rPr>
          <w:b/>
          <w:bCs/>
        </w:rPr>
        <w:t xml:space="preserve">Impairment </w:t>
      </w:r>
    </w:p>
    <w:p w14:paraId="642389CC" w14:textId="77777777" w:rsidR="0058381B" w:rsidRPr="002B1D97" w:rsidRDefault="0058381B" w:rsidP="0058381B">
      <w:pPr>
        <w:ind w:left="709"/>
        <w:rPr>
          <w:b/>
          <w:bCs/>
        </w:rPr>
      </w:pPr>
      <w:r w:rsidRPr="002B1D97">
        <w:rPr>
          <w:b/>
          <w:bCs/>
        </w:rPr>
        <w:t>Expected credit losses (ECLs)</w:t>
      </w:r>
    </w:p>
    <w:p w14:paraId="426A50DE" w14:textId="77777777" w:rsidR="0058381B" w:rsidRPr="00DF774A" w:rsidRDefault="0058381B" w:rsidP="0058381B">
      <w:pPr>
        <w:pStyle w:val="List1Numbered3"/>
        <w:tabs>
          <w:tab w:val="clear" w:pos="1135"/>
        </w:tabs>
        <w:ind w:left="993"/>
        <w:rPr>
          <w:b/>
          <w:bCs/>
        </w:rPr>
      </w:pPr>
      <w:r w:rsidRPr="00DF774A">
        <w:rPr>
          <w:b/>
          <w:bCs/>
        </w:rPr>
        <w:t>Debt instruments other than trade receivables</w:t>
      </w:r>
    </w:p>
    <w:p w14:paraId="03AD34DC" w14:textId="77777777" w:rsidR="0058381B" w:rsidRDefault="0058381B" w:rsidP="0058381B">
      <w:pPr>
        <w:widowControl w:val="0"/>
        <w:autoSpaceDE w:val="0"/>
        <w:autoSpaceDN w:val="0"/>
        <w:adjustRightInd w:val="0"/>
        <w:spacing w:after="0" w:line="276" w:lineRule="auto"/>
        <w:ind w:left="709"/>
        <w:rPr>
          <w:rFonts w:cs="Arial"/>
          <w:color w:val="000000" w:themeColor="text1"/>
        </w:rPr>
      </w:pPr>
      <w:r w:rsidRPr="004D3C49">
        <w:rPr>
          <w:rFonts w:cs="Arial"/>
          <w:color w:val="000000" w:themeColor="text1"/>
        </w:rPr>
        <w:t xml:space="preserve">The </w:t>
      </w:r>
      <w:r w:rsidRPr="00F80EEC">
        <w:rPr>
          <w:rFonts w:cs="Arial"/>
          <w:i/>
          <w:iCs/>
          <w:color w:val="000000" w:themeColor="text1"/>
        </w:rPr>
        <w:t>[reporting unit]</w:t>
      </w:r>
      <w:r w:rsidRPr="004D3C49">
        <w:rPr>
          <w:rFonts w:cs="Arial"/>
          <w:color w:val="000000" w:themeColor="text1"/>
        </w:rPr>
        <w:t xml:space="preserve"> recognises an allowance for ECLs for all debt instruments not held at fair value through profit or loss. ECLs are based on the difference between the contractual cash flows due in accordance with the contract and all the cash flows that the </w:t>
      </w:r>
      <w:r>
        <w:rPr>
          <w:rFonts w:cs="Arial"/>
          <w:color w:val="000000" w:themeColor="text1"/>
        </w:rPr>
        <w:t>reporting unit</w:t>
      </w:r>
      <w:r w:rsidRPr="004D3C49">
        <w:rPr>
          <w:rFonts w:cs="Arial"/>
          <w:color w:val="000000" w:themeColor="text1"/>
        </w:rPr>
        <w:t xml:space="preserve"> expects to receive, discounted at an approximation of the original effective interest rate. The expected cash flows will include cash flows from the sale of collateral held or other credit enhancements that are integral to the contractual terms.</w:t>
      </w:r>
    </w:p>
    <w:p w14:paraId="26D19817" w14:textId="77777777" w:rsidR="0058381B" w:rsidRDefault="0058381B" w:rsidP="0058381B">
      <w:pPr>
        <w:widowControl w:val="0"/>
        <w:autoSpaceDE w:val="0"/>
        <w:autoSpaceDN w:val="0"/>
        <w:adjustRightInd w:val="0"/>
        <w:spacing w:after="0" w:line="276" w:lineRule="auto"/>
        <w:ind w:left="709" w:right="149"/>
        <w:rPr>
          <w:rFonts w:cs="Arial"/>
          <w:color w:val="000000" w:themeColor="text1"/>
        </w:rPr>
      </w:pPr>
      <w:r w:rsidRPr="004D3C49">
        <w:rPr>
          <w:rFonts w:cs="Arial"/>
          <w:color w:val="000000" w:themeColor="text1"/>
        </w:rPr>
        <w:t>ECLs are recognised in two stages</w:t>
      </w:r>
      <w:proofErr w:type="gramStart"/>
      <w:r>
        <w:rPr>
          <w:rFonts w:cs="Arial"/>
          <w:color w:val="000000" w:themeColor="text1"/>
        </w:rPr>
        <w:t>. :</w:t>
      </w:r>
      <w:proofErr w:type="gramEnd"/>
    </w:p>
    <w:p w14:paraId="51C47EB9" w14:textId="77777777" w:rsidR="0058381B" w:rsidRDefault="0058381B" w:rsidP="0058381B">
      <w:pPr>
        <w:pStyle w:val="Bullet1"/>
        <w:numPr>
          <w:ilvl w:val="0"/>
          <w:numId w:val="30"/>
        </w:numPr>
        <w:spacing w:before="160" w:after="0" w:line="276" w:lineRule="auto"/>
        <w:ind w:left="1560" w:hanging="284"/>
      </w:pPr>
      <w:r w:rsidRPr="004D3C49">
        <w:t xml:space="preserve">For credit exposures for which there has not been a significant increase in credit risk since initial recognition, ECLs are provided for credit losses that result from default events that are possible within the next 12-months (a 12-month ECL). </w:t>
      </w:r>
    </w:p>
    <w:p w14:paraId="7A3E6D46" w14:textId="77777777" w:rsidR="0058381B" w:rsidRPr="004D3C49" w:rsidRDefault="0058381B" w:rsidP="0058381B">
      <w:pPr>
        <w:pStyle w:val="Bullet1"/>
        <w:numPr>
          <w:ilvl w:val="0"/>
          <w:numId w:val="30"/>
        </w:numPr>
        <w:spacing w:before="160" w:after="0" w:line="276" w:lineRule="auto"/>
        <w:ind w:left="1560" w:hanging="284"/>
      </w:pPr>
      <w:r w:rsidRPr="004D3C49">
        <w:t>For those credit exposures for which there has been a</w:t>
      </w:r>
      <w:r>
        <w:t xml:space="preserve"> </w:t>
      </w:r>
      <w:r w:rsidRPr="004D3C49">
        <w:t>significant increase in credit risk since initial recognition, a loss allowance is required for credit losses expected over the remaining life of the exposure, irrespective of the timing of the default (a lifetime ECL).</w:t>
      </w:r>
    </w:p>
    <w:p w14:paraId="47F3101D" w14:textId="77777777" w:rsidR="0058381B" w:rsidRDefault="0058381B" w:rsidP="0058381B">
      <w:pPr>
        <w:spacing w:after="0" w:line="276" w:lineRule="auto"/>
        <w:ind w:left="709"/>
      </w:pPr>
      <w:r>
        <w:rPr>
          <w:i/>
          <w:iCs/>
        </w:rPr>
        <w:t>R</w:t>
      </w:r>
      <w:r w:rsidRPr="001F045E">
        <w:rPr>
          <w:i/>
          <w:iCs/>
        </w:rPr>
        <w:t>eporting unit]</w:t>
      </w:r>
      <w:r w:rsidRPr="001F045E">
        <w:t xml:space="preserve"> considers a financial asset in default when contractual payments are </w:t>
      </w:r>
      <w:r w:rsidRPr="005A7FE0">
        <w:rPr>
          <w:i/>
          <w:iCs/>
        </w:rPr>
        <w:t>[90</w:t>
      </w:r>
      <w:r>
        <w:rPr>
          <w:i/>
          <w:iCs/>
        </w:rPr>
        <w:t xml:space="preserve"> days</w:t>
      </w:r>
      <w:r w:rsidRPr="005A7FE0">
        <w:rPr>
          <w:rStyle w:val="FootnoteReference"/>
          <w:rFonts w:eastAsiaTheme="minorEastAsia"/>
          <w:iCs/>
          <w:color w:val="000000" w:themeColor="text1"/>
        </w:rPr>
        <w:footnoteReference w:id="1"/>
      </w:r>
      <w:r w:rsidRPr="005A7FE0">
        <w:rPr>
          <w:i/>
          <w:iCs/>
        </w:rPr>
        <w:t xml:space="preserve"> ]</w:t>
      </w:r>
      <w:r w:rsidRPr="001F045E">
        <w:t xml:space="preserve"> past due. However, in certain cases, </w:t>
      </w:r>
      <w:r w:rsidRPr="001F045E">
        <w:rPr>
          <w:i/>
          <w:iCs/>
        </w:rPr>
        <w:t>[reporting unit]</w:t>
      </w:r>
      <w:r w:rsidRPr="001F045E">
        <w:t xml:space="preserve"> may also consider a financial asset to be in default when internal or external information indicates that </w:t>
      </w:r>
      <w:r w:rsidRPr="001F045E">
        <w:rPr>
          <w:i/>
          <w:iCs/>
        </w:rPr>
        <w:t>[reporting unit]</w:t>
      </w:r>
      <w:r w:rsidRPr="001F045E">
        <w:t xml:space="preserve"> is unlikely to receive the outstanding contractual amounts in full. A financial asset is written off when there is no reasonable expectation of recovering the contractual cash flows.</w:t>
      </w:r>
    </w:p>
    <w:p w14:paraId="52BE01C6" w14:textId="77777777" w:rsidR="0058381B" w:rsidRPr="00DF774A" w:rsidRDefault="0058381B" w:rsidP="0058381B">
      <w:pPr>
        <w:pStyle w:val="List1Numbered3"/>
        <w:tabs>
          <w:tab w:val="clear" w:pos="1135"/>
        </w:tabs>
        <w:ind w:left="993"/>
        <w:rPr>
          <w:b/>
          <w:bCs/>
        </w:rPr>
      </w:pPr>
      <w:r w:rsidRPr="00DF774A">
        <w:rPr>
          <w:b/>
          <w:bCs/>
        </w:rPr>
        <w:t>Trade receivables</w:t>
      </w:r>
    </w:p>
    <w:p w14:paraId="5E56EF94" w14:textId="77777777" w:rsidR="0058381B" w:rsidRDefault="0058381B" w:rsidP="0058381B">
      <w:pPr>
        <w:ind w:left="710"/>
        <w:rPr>
          <w:lang w:eastAsia="en-AU"/>
        </w:rPr>
      </w:pPr>
      <w:r w:rsidRPr="004D3C49">
        <w:rPr>
          <w:lang w:eastAsia="en-AU"/>
        </w:rPr>
        <w:t>For trade receivables</w:t>
      </w:r>
      <w:r>
        <w:rPr>
          <w:lang w:eastAsia="en-AU"/>
        </w:rPr>
        <w:t xml:space="preserve"> that do not have a significant financing component</w:t>
      </w:r>
      <w:r w:rsidRPr="004D3C49">
        <w:rPr>
          <w:lang w:eastAsia="en-AU"/>
        </w:rPr>
        <w:t xml:space="preserve">, the </w:t>
      </w:r>
      <w:r w:rsidRPr="008324DC">
        <w:rPr>
          <w:rFonts w:cs="Arial"/>
          <w:i/>
          <w:iCs/>
          <w:color w:val="000000" w:themeColor="text1"/>
        </w:rPr>
        <w:t>[reporting unit]</w:t>
      </w:r>
      <w:r w:rsidRPr="004D3C49">
        <w:rPr>
          <w:rFonts w:cs="Arial"/>
          <w:color w:val="000000" w:themeColor="text1"/>
        </w:rPr>
        <w:t xml:space="preserve"> </w:t>
      </w:r>
      <w:r w:rsidRPr="004D3C49">
        <w:rPr>
          <w:lang w:eastAsia="en-AU"/>
        </w:rPr>
        <w:t xml:space="preserve">applies a simplified approach in calculating ECLs. Therefore, the </w:t>
      </w:r>
      <w:r>
        <w:rPr>
          <w:rFonts w:cs="Arial"/>
          <w:color w:val="000000" w:themeColor="text1"/>
        </w:rPr>
        <w:t>[reporting unit]</w:t>
      </w:r>
      <w:r w:rsidRPr="004D3C49">
        <w:rPr>
          <w:rFonts w:cs="Arial"/>
          <w:color w:val="000000" w:themeColor="text1"/>
        </w:rPr>
        <w:t xml:space="preserve"> </w:t>
      </w:r>
      <w:r w:rsidRPr="004D3C49">
        <w:rPr>
          <w:lang w:eastAsia="en-AU"/>
        </w:rPr>
        <w:t xml:space="preserve">does not track changes in credit risk, but instead recognises a loss allowance based on lifetime ECLs at each reporting date. The </w:t>
      </w:r>
      <w:r w:rsidRPr="00F80EEC">
        <w:rPr>
          <w:rFonts w:cs="Arial"/>
          <w:i/>
          <w:iCs/>
          <w:color w:val="000000" w:themeColor="text1"/>
        </w:rPr>
        <w:t>[reporting unit</w:t>
      </w:r>
      <w:r>
        <w:rPr>
          <w:rFonts w:cs="Arial"/>
          <w:color w:val="000000" w:themeColor="text1"/>
        </w:rPr>
        <w:t>]</w:t>
      </w:r>
      <w:r w:rsidRPr="004D3C49">
        <w:rPr>
          <w:rFonts w:cs="Arial"/>
          <w:color w:val="000000" w:themeColor="text1"/>
        </w:rPr>
        <w:t xml:space="preserve"> </w:t>
      </w:r>
      <w:r w:rsidRPr="004D3C49">
        <w:rPr>
          <w:lang w:eastAsia="en-AU"/>
        </w:rPr>
        <w:t>has established a provision matrix that is based on its historical credit loss experience, adjusted for forward-looking factors specific to the debtors and the econo</w:t>
      </w:r>
      <w:r>
        <w:rPr>
          <w:lang w:eastAsia="en-AU"/>
        </w:rPr>
        <w:t>mic environment.</w:t>
      </w:r>
    </w:p>
    <w:p w14:paraId="4831FB20" w14:textId="77777777" w:rsidR="0058381B" w:rsidRPr="000368B7" w:rsidRDefault="0058381B" w:rsidP="0058381B">
      <w:pPr>
        <w:pStyle w:val="Heading5"/>
      </w:pPr>
      <w:r>
        <w:lastRenderedPageBreak/>
        <w:t xml:space="preserve">1.16     </w:t>
      </w:r>
      <w:r w:rsidRPr="000368B7">
        <w:t>Financial Liabilities</w:t>
      </w:r>
    </w:p>
    <w:p w14:paraId="407BC5DA" w14:textId="77777777" w:rsidR="0058381B" w:rsidRPr="002B1D97" w:rsidRDefault="0058381B" w:rsidP="0058381B">
      <w:pPr>
        <w:ind w:left="709"/>
        <w:rPr>
          <w:b/>
          <w:bCs/>
        </w:rPr>
      </w:pPr>
      <w:r w:rsidRPr="002B1D97">
        <w:rPr>
          <w:b/>
          <w:bCs/>
        </w:rPr>
        <w:t>Initial recognition and measurement</w:t>
      </w:r>
    </w:p>
    <w:p w14:paraId="6762241E" w14:textId="77777777" w:rsidR="0058381B" w:rsidRPr="001F045E" w:rsidRDefault="0058381B" w:rsidP="0058381B">
      <w:pPr>
        <w:spacing w:after="0" w:line="276" w:lineRule="auto"/>
        <w:ind w:left="709"/>
        <w:rPr>
          <w:lang w:eastAsia="ar-SA"/>
        </w:rPr>
      </w:pPr>
      <w:r w:rsidRPr="001F045E">
        <w:rPr>
          <w:lang w:eastAsia="ar-SA"/>
        </w:rPr>
        <w:t xml:space="preserve">Financial liabilities are classified, at initial recognition, at amortised cost or at </w:t>
      </w:r>
      <w:r>
        <w:rPr>
          <w:lang w:eastAsia="ar-SA"/>
        </w:rPr>
        <w:t>fair value through profit or loss</w:t>
      </w:r>
      <w:r w:rsidRPr="001F045E">
        <w:rPr>
          <w:lang w:eastAsia="ar-SA"/>
        </w:rPr>
        <w:t>.</w:t>
      </w:r>
    </w:p>
    <w:p w14:paraId="3B1090A1" w14:textId="77777777" w:rsidR="0058381B" w:rsidRPr="001F045E" w:rsidRDefault="0058381B" w:rsidP="0058381B">
      <w:pPr>
        <w:spacing w:after="0" w:line="276" w:lineRule="auto"/>
        <w:ind w:left="709"/>
        <w:rPr>
          <w:lang w:eastAsia="ar-SA"/>
        </w:rPr>
      </w:pPr>
      <w:r w:rsidRPr="001F045E">
        <w:rPr>
          <w:lang w:eastAsia="ar-SA"/>
        </w:rPr>
        <w:t>All financial liabilities are recognised initially at fair value and, in the case of financial liabilities at amortised cost, net of directly attributable transaction costs.</w:t>
      </w:r>
    </w:p>
    <w:p w14:paraId="05894264" w14:textId="77777777" w:rsidR="0058381B" w:rsidRDefault="0058381B" w:rsidP="0058381B">
      <w:pPr>
        <w:spacing w:after="0" w:line="276" w:lineRule="auto"/>
        <w:ind w:left="709"/>
        <w:rPr>
          <w:lang w:eastAsia="ar-SA"/>
        </w:rPr>
      </w:pPr>
      <w:r w:rsidRPr="001F045E">
        <w:rPr>
          <w:i/>
          <w:iCs/>
          <w:lang w:eastAsia="ar-SA"/>
        </w:rPr>
        <w:t>[</w:t>
      </w:r>
      <w:r>
        <w:rPr>
          <w:i/>
          <w:iCs/>
          <w:lang w:eastAsia="ar-SA"/>
        </w:rPr>
        <w:t>R</w:t>
      </w:r>
      <w:r w:rsidRPr="001F045E">
        <w:rPr>
          <w:i/>
          <w:iCs/>
          <w:lang w:eastAsia="ar-SA"/>
        </w:rPr>
        <w:t>eporting unit’s]</w:t>
      </w:r>
      <w:r w:rsidRPr="001F045E">
        <w:rPr>
          <w:lang w:eastAsia="ar-SA"/>
        </w:rPr>
        <w:t xml:space="preserve"> financial liabilities include trade and other payables.</w:t>
      </w:r>
    </w:p>
    <w:p w14:paraId="7DC497E4" w14:textId="77777777" w:rsidR="0058381B" w:rsidRPr="002B1D97" w:rsidRDefault="0058381B" w:rsidP="0058381B">
      <w:pPr>
        <w:ind w:left="709"/>
        <w:rPr>
          <w:b/>
          <w:bCs/>
        </w:rPr>
      </w:pPr>
      <w:r w:rsidRPr="002B1D97">
        <w:rPr>
          <w:b/>
          <w:bCs/>
        </w:rPr>
        <w:t>Subsequent measurement</w:t>
      </w:r>
    </w:p>
    <w:p w14:paraId="7A04146A" w14:textId="77777777" w:rsidR="0058381B" w:rsidRPr="001F045E" w:rsidRDefault="0058381B" w:rsidP="0058381B">
      <w:pPr>
        <w:ind w:left="709"/>
        <w:rPr>
          <w:rFonts w:cs="Arial"/>
          <w:color w:val="000000" w:themeColor="text1"/>
        </w:rPr>
      </w:pPr>
      <w:r w:rsidRPr="001F045E">
        <w:rPr>
          <w:rFonts w:cs="Arial"/>
          <w:b/>
          <w:color w:val="000000" w:themeColor="text1"/>
          <w:lang w:eastAsia="ar-SA"/>
        </w:rPr>
        <w:t xml:space="preserve">Financial liabilities at fair value through profit or loss (including designated) </w:t>
      </w:r>
    </w:p>
    <w:p w14:paraId="099019D3" w14:textId="77777777" w:rsidR="0058381B" w:rsidRPr="001F045E" w:rsidRDefault="0058381B" w:rsidP="0058381B">
      <w:pPr>
        <w:spacing w:after="0" w:line="276" w:lineRule="auto"/>
        <w:ind w:left="709"/>
        <w:rPr>
          <w:lang w:eastAsia="ar-SA"/>
        </w:rPr>
      </w:pPr>
      <w:r w:rsidRPr="001F045E">
        <w:rPr>
          <w:lang w:eastAsia="ar-SA"/>
        </w:rPr>
        <w:t xml:space="preserve">Financial liabilities at </w:t>
      </w:r>
      <w:r>
        <w:rPr>
          <w:lang w:eastAsia="ar-SA"/>
        </w:rPr>
        <w:t>fair value through profit or loss</w:t>
      </w:r>
      <w:r w:rsidRPr="001F045E">
        <w:rPr>
          <w:lang w:eastAsia="ar-SA"/>
        </w:rPr>
        <w:t xml:space="preserve"> include financial liabilities held for trading and financial liabilities designated upon initial recognition as at </w:t>
      </w:r>
      <w:r>
        <w:rPr>
          <w:lang w:eastAsia="ar-SA"/>
        </w:rPr>
        <w:t>fair value through profit or loss</w:t>
      </w:r>
      <w:r w:rsidRPr="001F045E">
        <w:rPr>
          <w:lang w:eastAsia="ar-SA"/>
        </w:rPr>
        <w:t>.</w:t>
      </w:r>
    </w:p>
    <w:p w14:paraId="783B7C1B" w14:textId="77777777" w:rsidR="0058381B" w:rsidRPr="001F045E" w:rsidRDefault="0058381B" w:rsidP="0058381B">
      <w:pPr>
        <w:spacing w:after="0" w:line="276" w:lineRule="auto"/>
        <w:ind w:left="709"/>
        <w:rPr>
          <w:lang w:eastAsia="ar-SA"/>
        </w:rPr>
      </w:pPr>
      <w:r w:rsidRPr="001F045E">
        <w:rPr>
          <w:lang w:eastAsia="ar-SA"/>
        </w:rPr>
        <w:t>Gains or losses on liabilities held for trading are recognised in profit or loss.</w:t>
      </w:r>
    </w:p>
    <w:p w14:paraId="1D150A74" w14:textId="77777777" w:rsidR="0058381B" w:rsidRDefault="0058381B" w:rsidP="0058381B">
      <w:pPr>
        <w:spacing w:after="0" w:line="276" w:lineRule="auto"/>
        <w:ind w:left="709"/>
        <w:rPr>
          <w:lang w:eastAsia="ar-SA"/>
        </w:rPr>
      </w:pPr>
      <w:r w:rsidRPr="001F045E">
        <w:rPr>
          <w:lang w:eastAsia="ar-SA"/>
        </w:rPr>
        <w:t xml:space="preserve">Financial liabilities designated upon initial recognition at </w:t>
      </w:r>
      <w:r>
        <w:rPr>
          <w:lang w:eastAsia="ar-SA"/>
        </w:rPr>
        <w:t xml:space="preserve">fair value through profit or loss </w:t>
      </w:r>
      <w:r w:rsidRPr="001F045E">
        <w:rPr>
          <w:lang w:eastAsia="ar-SA"/>
        </w:rPr>
        <w:t xml:space="preserve">are designated at the initial date of recognition, and only if the criteria in AASB 9 </w:t>
      </w:r>
      <w:r w:rsidRPr="000C6603">
        <w:rPr>
          <w:i/>
          <w:iCs/>
          <w:lang w:eastAsia="ar-SA"/>
        </w:rPr>
        <w:t>Financial Instruments</w:t>
      </w:r>
      <w:r>
        <w:rPr>
          <w:lang w:eastAsia="ar-SA"/>
        </w:rPr>
        <w:t xml:space="preserve"> </w:t>
      </w:r>
      <w:r w:rsidRPr="001F045E">
        <w:rPr>
          <w:lang w:eastAsia="ar-SA"/>
        </w:rPr>
        <w:t xml:space="preserve">are satisfied. </w:t>
      </w:r>
    </w:p>
    <w:p w14:paraId="4B3EB452" w14:textId="77777777" w:rsidR="0058381B" w:rsidRPr="002E1311" w:rsidRDefault="0058381B" w:rsidP="0058381B">
      <w:pPr>
        <w:spacing w:line="276" w:lineRule="auto"/>
        <w:ind w:left="709"/>
        <w:rPr>
          <w:rFonts w:cs="Arial"/>
          <w:b/>
          <w:color w:val="000000" w:themeColor="text1"/>
          <w:lang w:eastAsia="ar-SA"/>
        </w:rPr>
      </w:pPr>
      <w:r w:rsidRPr="001F045E">
        <w:rPr>
          <w:rFonts w:cs="Arial"/>
          <w:b/>
          <w:color w:val="000000" w:themeColor="text1"/>
          <w:lang w:eastAsia="ar-SA"/>
        </w:rPr>
        <w:t>Financial liabilities at amortised cost</w:t>
      </w:r>
    </w:p>
    <w:p w14:paraId="3F987FC3" w14:textId="77777777" w:rsidR="0058381B" w:rsidRPr="001F045E" w:rsidRDefault="0058381B" w:rsidP="0058381B">
      <w:pPr>
        <w:spacing w:after="0" w:line="276" w:lineRule="auto"/>
        <w:ind w:left="720"/>
        <w:rPr>
          <w:rFonts w:cs="Arial"/>
          <w:color w:val="000000" w:themeColor="text1"/>
          <w:lang w:eastAsia="ar-SA"/>
        </w:rPr>
      </w:pPr>
      <w:r w:rsidRPr="001F045E">
        <w:rPr>
          <w:rFonts w:cs="Arial"/>
          <w:color w:val="000000" w:themeColor="text1"/>
          <w:lang w:eastAsia="ar-SA"/>
        </w:rPr>
        <w:t xml:space="preserve">After initial recognition, trade payables and interest-bearing loans and borrowings are subsequently measured at amortised cost using the </w:t>
      </w:r>
      <w:r w:rsidRPr="008E5B14">
        <w:rPr>
          <w:rFonts w:cs="Arial"/>
          <w:color w:val="000000" w:themeColor="text1"/>
          <w:lang w:eastAsia="ar-SA"/>
        </w:rPr>
        <w:t>EIR</w:t>
      </w:r>
      <w:r w:rsidRPr="001F045E">
        <w:rPr>
          <w:rFonts w:cs="Arial"/>
          <w:color w:val="000000" w:themeColor="text1"/>
          <w:lang w:eastAsia="ar-SA"/>
        </w:rPr>
        <w:t xml:space="preserve"> method. Gains and losses are recognised in profit or loss when the liabilities are derecognised as well as through the EIR amortisation process.</w:t>
      </w:r>
    </w:p>
    <w:p w14:paraId="586A2ABD" w14:textId="77777777" w:rsidR="0058381B" w:rsidRPr="001F045E" w:rsidRDefault="0058381B" w:rsidP="0058381B">
      <w:pPr>
        <w:spacing w:after="0" w:line="276" w:lineRule="auto"/>
        <w:ind w:left="720"/>
        <w:rPr>
          <w:rFonts w:cs="Arial"/>
          <w:color w:val="000000" w:themeColor="text1"/>
          <w:lang w:eastAsia="ar-SA"/>
        </w:rPr>
      </w:pPr>
      <w:r w:rsidRPr="001F045E">
        <w:rPr>
          <w:rFonts w:cs="Arial"/>
          <w:color w:val="000000" w:themeColor="text1"/>
          <w:lang w:eastAsia="ar-SA"/>
        </w:rPr>
        <w:t xml:space="preserve">Amortised cost is calculated by </w:t>
      </w:r>
      <w:proofErr w:type="gramStart"/>
      <w:r w:rsidRPr="001F045E">
        <w:rPr>
          <w:rFonts w:cs="Arial"/>
          <w:color w:val="000000" w:themeColor="text1"/>
          <w:lang w:eastAsia="ar-SA"/>
        </w:rPr>
        <w:t>taking into account</w:t>
      </w:r>
      <w:proofErr w:type="gramEnd"/>
      <w:r w:rsidRPr="001F045E">
        <w:rPr>
          <w:rFonts w:cs="Arial"/>
          <w:color w:val="000000" w:themeColor="text1"/>
          <w:lang w:eastAsia="ar-SA"/>
        </w:rPr>
        <w:t xml:space="preserve"> any discount or premium on acquisition and fees or costs that are an integral part of the EIR. The EIR amortisation is included as finance costs in profit or loss.  </w:t>
      </w:r>
    </w:p>
    <w:p w14:paraId="7BF678C3" w14:textId="77777777" w:rsidR="0058381B" w:rsidRPr="001F045E" w:rsidRDefault="0058381B" w:rsidP="0058381B">
      <w:pPr>
        <w:ind w:left="720"/>
        <w:rPr>
          <w:rFonts w:cs="Arial"/>
          <w:b/>
          <w:color w:val="000000" w:themeColor="text1"/>
          <w:lang w:eastAsia="ar-SA"/>
        </w:rPr>
      </w:pPr>
      <w:r w:rsidRPr="001F045E">
        <w:rPr>
          <w:rFonts w:cs="Arial"/>
          <w:b/>
          <w:color w:val="000000" w:themeColor="text1"/>
          <w:lang w:eastAsia="ar-SA"/>
        </w:rPr>
        <w:t>Derecognition</w:t>
      </w:r>
    </w:p>
    <w:p w14:paraId="3983C474" w14:textId="77777777" w:rsidR="0058381B" w:rsidRPr="001F045E" w:rsidRDefault="0058381B" w:rsidP="0058381B">
      <w:pPr>
        <w:spacing w:after="0" w:line="276" w:lineRule="auto"/>
        <w:ind w:left="709"/>
        <w:rPr>
          <w:lang w:eastAsia="ar-SA"/>
        </w:rPr>
      </w:pPr>
      <w:r w:rsidRPr="001F045E">
        <w:rPr>
          <w:lang w:eastAsia="ar-SA"/>
        </w:rPr>
        <w:t>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recognised in profit or loss.</w:t>
      </w:r>
    </w:p>
    <w:p w14:paraId="0F147A79" w14:textId="77777777" w:rsidR="0058381B" w:rsidRDefault="0058381B" w:rsidP="0058381B"/>
    <w:p w14:paraId="025318CA" w14:textId="677210D5" w:rsidR="00A361C1" w:rsidRPr="0058381B" w:rsidRDefault="00A361C1" w:rsidP="0058381B"/>
    <w:sectPr w:rsidR="00A361C1" w:rsidRPr="0058381B" w:rsidSect="00B51A2A">
      <w:headerReference w:type="first" r:id="rId14"/>
      <w:type w:val="continuous"/>
      <w:pgSz w:w="11906" w:h="16838" w:code="9"/>
      <w:pgMar w:top="1134"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977A" w14:textId="77777777" w:rsidR="00565EED" w:rsidRDefault="00565EED" w:rsidP="008E21DE">
      <w:pPr>
        <w:spacing w:before="0" w:after="0"/>
      </w:pPr>
      <w:r>
        <w:separator/>
      </w:r>
    </w:p>
    <w:p w14:paraId="71C8DD50" w14:textId="77777777" w:rsidR="00565EED" w:rsidRDefault="00565EED"/>
    <w:p w14:paraId="41DF3688" w14:textId="77777777" w:rsidR="00565EED" w:rsidRDefault="00565EED"/>
  </w:endnote>
  <w:endnote w:type="continuationSeparator" w:id="0">
    <w:p w14:paraId="2FFEEF19" w14:textId="77777777" w:rsidR="00565EED" w:rsidRDefault="00565EED" w:rsidP="008E21DE">
      <w:pPr>
        <w:spacing w:before="0" w:after="0"/>
      </w:pPr>
      <w:r>
        <w:continuationSeparator/>
      </w:r>
    </w:p>
    <w:p w14:paraId="62275A3C" w14:textId="77777777" w:rsidR="00565EED" w:rsidRDefault="00565EED"/>
    <w:p w14:paraId="1ABDACEE" w14:textId="77777777" w:rsidR="00565EED" w:rsidRDefault="0056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54088"/>
      <w:docPartObj>
        <w:docPartGallery w:val="Page Numbers (Bottom of Page)"/>
        <w:docPartUnique/>
      </w:docPartObj>
    </w:sdtPr>
    <w:sdtEndPr/>
    <w:sdtContent>
      <w:p w14:paraId="7D4670AB" w14:textId="7657339A" w:rsidR="00B51A2A" w:rsidRDefault="00B51A2A" w:rsidP="00B51A2A">
        <w:pPr>
          <w:pStyle w:val="Footer-Title"/>
          <w:tabs>
            <w:tab w:val="left" w:pos="7797"/>
          </w:tabs>
        </w:pPr>
        <w:r w:rsidRPr="00B51A2A">
          <w:rPr>
            <w:rStyle w:val="PageNumber"/>
            <w:rFonts w:ascii="Calibri" w:hAnsi="Calibri"/>
            <w:sz w:val="18"/>
          </w:rPr>
          <w:t>Note 1.15 and 1.16 Financial instruments complex</w:t>
        </w:r>
        <w:r w:rsidRPr="001D0FB5">
          <w:rPr>
            <w:rStyle w:val="PageNumber"/>
            <w:rFonts w:ascii="Calibri" w:hAnsi="Calibri"/>
            <w:sz w:val="18"/>
          </w:rPr>
          <w:tab/>
        </w:r>
        <w:r>
          <w:rPr>
            <w:rStyle w:val="PageNumber"/>
            <w:rFonts w:ascii="Calibri" w:hAnsi="Calibri"/>
            <w:sz w:val="18"/>
          </w:rPr>
          <w:t>9 May 2023</w:t>
        </w:r>
        <w:r w:rsidRPr="001D0FB5">
          <w:rPr>
            <w:rStyle w:val="PageNumber"/>
            <w:rFonts w:ascii="Calibri" w:hAnsi="Calibri"/>
            <w:sz w:val="18"/>
          </w:rPr>
          <w:t xml:space="preserve"> | p. </w:t>
        </w:r>
        <w:r w:rsidRPr="001D0FB5">
          <w:fldChar w:fldCharType="begin"/>
        </w:r>
        <w:r w:rsidRPr="001D0FB5">
          <w:instrText xml:space="preserve"> PAGE   \* MERGEFORMAT </w:instrText>
        </w:r>
        <w:r w:rsidRPr="001D0FB5">
          <w:fldChar w:fldCharType="separate"/>
        </w:r>
        <w:r>
          <w:t>2</w:t>
        </w:r>
        <w:r w:rsidRPr="001D0FB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sdtContent>
      <w:p w14:paraId="231A0DDA" w14:textId="27CFCA0C" w:rsidR="00661A4C" w:rsidRDefault="00B51A2A" w:rsidP="00661A4C">
        <w:pPr>
          <w:pStyle w:val="Footer-Title"/>
          <w:tabs>
            <w:tab w:val="left" w:pos="7797"/>
          </w:tabs>
        </w:pPr>
        <w:r w:rsidRPr="00B51A2A">
          <w:rPr>
            <w:rStyle w:val="PageNumber"/>
            <w:rFonts w:ascii="Calibri" w:hAnsi="Calibri"/>
            <w:sz w:val="18"/>
          </w:rPr>
          <w:t>Note 1.15 and 1.16 Financial instruments complex</w:t>
        </w:r>
        <w:r w:rsidR="00661A4C" w:rsidRPr="001D0FB5">
          <w:rPr>
            <w:rStyle w:val="PageNumber"/>
            <w:rFonts w:ascii="Calibri" w:hAnsi="Calibri"/>
            <w:sz w:val="18"/>
          </w:rPr>
          <w:tab/>
        </w:r>
        <w:r w:rsidR="00661A4C">
          <w:rPr>
            <w:rStyle w:val="PageNumber"/>
            <w:rFonts w:ascii="Calibri" w:hAnsi="Calibri"/>
            <w:sz w:val="18"/>
          </w:rPr>
          <w:t>9 May 2023</w:t>
        </w:r>
        <w:r w:rsidR="00661A4C" w:rsidRPr="001D0FB5">
          <w:rPr>
            <w:rStyle w:val="PageNumber"/>
            <w:rFonts w:ascii="Calibri" w:hAnsi="Calibri"/>
            <w:sz w:val="18"/>
          </w:rPr>
          <w:t xml:space="preserve"> | p. </w:t>
        </w:r>
        <w:r w:rsidR="00661A4C" w:rsidRPr="001D0FB5">
          <w:fldChar w:fldCharType="begin"/>
        </w:r>
        <w:r w:rsidR="00661A4C" w:rsidRPr="001D0FB5">
          <w:instrText xml:space="preserve"> PAGE   \* MERGEFORMAT </w:instrText>
        </w:r>
        <w:r w:rsidR="00661A4C" w:rsidRPr="001D0FB5">
          <w:fldChar w:fldCharType="separate"/>
        </w:r>
        <w:r w:rsidR="00661A4C">
          <w:t>1</w:t>
        </w:r>
        <w:r w:rsidR="00661A4C" w:rsidRPr="001D0F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AF8A" w14:textId="77777777" w:rsidR="00565EED" w:rsidRDefault="00565EED" w:rsidP="008E21DE">
      <w:pPr>
        <w:spacing w:before="0" w:after="0"/>
      </w:pPr>
      <w:r>
        <w:separator/>
      </w:r>
    </w:p>
  </w:footnote>
  <w:footnote w:type="continuationSeparator" w:id="0">
    <w:p w14:paraId="03E95709" w14:textId="77777777" w:rsidR="00565EED" w:rsidRDefault="00565EED" w:rsidP="008E21DE">
      <w:pPr>
        <w:spacing w:before="0" w:after="0"/>
      </w:pPr>
      <w:r>
        <w:continuationSeparator/>
      </w:r>
    </w:p>
    <w:p w14:paraId="29BCA0C7" w14:textId="77777777" w:rsidR="00565EED" w:rsidRDefault="00565EED"/>
    <w:p w14:paraId="4470C816" w14:textId="77777777" w:rsidR="00565EED" w:rsidRDefault="00565EED"/>
  </w:footnote>
  <w:footnote w:id="1">
    <w:p w14:paraId="1FAB2FC1" w14:textId="77777777" w:rsidR="0058381B" w:rsidRPr="009A6000" w:rsidRDefault="0058381B" w:rsidP="0058381B">
      <w:pPr>
        <w:spacing w:before="60" w:after="60" w:line="240" w:lineRule="auto"/>
        <w:rPr>
          <w:sz w:val="16"/>
          <w:szCs w:val="16"/>
        </w:rPr>
      </w:pPr>
      <w:r w:rsidRPr="009A6000">
        <w:rPr>
          <w:sz w:val="16"/>
          <w:szCs w:val="16"/>
          <w:vertAlign w:val="superscript"/>
        </w:rPr>
        <w:t>14</w:t>
      </w:r>
      <w:r w:rsidRPr="009A6000">
        <w:rPr>
          <w:sz w:val="16"/>
          <w:szCs w:val="16"/>
        </w:rPr>
        <w:t xml:space="preserve"> Note: Reporting unit to update as </w:t>
      </w:r>
      <w:proofErr w:type="gramStart"/>
      <w:r w:rsidRPr="009A6000">
        <w:rPr>
          <w:sz w:val="16"/>
          <w:szCs w:val="16"/>
        </w:rPr>
        <w:t>applicable</w:t>
      </w:r>
      <w:proofErr w:type="gramEnd"/>
    </w:p>
    <w:p w14:paraId="0553B0A5" w14:textId="77777777" w:rsidR="0058381B" w:rsidRDefault="0058381B" w:rsidP="00583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E51A" w14:textId="5A152302" w:rsidR="00E23855" w:rsidRDefault="00D90E57">
    <w:pPr>
      <w:pStyle w:val="Header"/>
    </w:pPr>
    <w:r>
      <w:rPr>
        <w:caps/>
        <w:noProof/>
        <w:color w:val="FFFFFF" w:themeColor="background1"/>
        <w:sz w:val="25"/>
      </w:rPr>
      <w:drawing>
        <wp:anchor distT="0" distB="0" distL="114300" distR="114300" simplePos="0" relativeHeight="251660288" behindDoc="1" locked="0" layoutInCell="1" allowOverlap="1" wp14:anchorId="48D4388B" wp14:editId="7570C9B4">
          <wp:simplePos x="0" y="0"/>
          <wp:positionH relativeFrom="column">
            <wp:posOffset>0</wp:posOffset>
          </wp:positionH>
          <wp:positionV relativeFrom="paragraph">
            <wp:posOffset>408305</wp:posOffset>
          </wp:positionV>
          <wp:extent cx="812800" cy="800100"/>
          <wp:effectExtent l="0" t="0" r="0" b="0"/>
          <wp:wrapNone/>
          <wp:docPr id="11" name="Graphic 11"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59264" behindDoc="1" locked="0" layoutInCell="1" allowOverlap="1" wp14:anchorId="35F68631" wp14:editId="63485AB6">
          <wp:simplePos x="0" y="0"/>
          <wp:positionH relativeFrom="page">
            <wp:posOffset>1254760</wp:posOffset>
          </wp:positionH>
          <wp:positionV relativeFrom="paragraph">
            <wp:posOffset>-286385</wp:posOffset>
          </wp:positionV>
          <wp:extent cx="6300470" cy="1890395"/>
          <wp:effectExtent l="0" t="0" r="508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974" w14:textId="16532E62" w:rsidR="00B51A2A" w:rsidRDefault="00B5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EE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6C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A7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87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07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160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D41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D584744"/>
    <w:lvl w:ilvl="0">
      <w:start w:val="1"/>
      <w:numFmt w:val="decimal"/>
      <w:lvlText w:val="%1."/>
      <w:lvlJc w:val="left"/>
      <w:pPr>
        <w:tabs>
          <w:tab w:val="num" w:pos="360"/>
        </w:tabs>
        <w:ind w:left="360" w:hanging="360"/>
      </w:pPr>
    </w:lvl>
  </w:abstractNum>
  <w:abstractNum w:abstractNumId="8"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A6826"/>
    <w:multiLevelType w:val="multilevel"/>
    <w:tmpl w:val="1610CD90"/>
    <w:numStyleLink w:val="List1Numbered"/>
  </w:abstractNum>
  <w:abstractNum w:abstractNumId="14"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2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322F4B"/>
    <w:multiLevelType w:val="hybridMultilevel"/>
    <w:tmpl w:val="E05230DA"/>
    <w:lvl w:ilvl="0" w:tplc="0C090005">
      <w:start w:val="1"/>
      <w:numFmt w:val="bullet"/>
      <w:lvlText w:val=""/>
      <w:lvlJc w:val="left"/>
      <w:pPr>
        <w:ind w:left="1212" w:hanging="360"/>
      </w:pPr>
      <w:rPr>
        <w:rFonts w:ascii="Wingdings" w:hAnsi="Wingdings" w:hint="default"/>
      </w:rPr>
    </w:lvl>
    <w:lvl w:ilvl="1" w:tplc="C4544888">
      <w:start w:val="1"/>
      <w:numFmt w:val="bullet"/>
      <w:lvlText w:val="­"/>
      <w:lvlJc w:val="left"/>
      <w:pPr>
        <w:ind w:left="1932" w:hanging="360"/>
      </w:pPr>
      <w:rPr>
        <w:rFonts w:ascii="Courier New" w:hAnsi="Courier New" w:hint="default"/>
      </w:rPr>
    </w:lvl>
    <w:lvl w:ilvl="2" w:tplc="0C090005">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6"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0B4B4E"/>
    <w:multiLevelType w:val="hybridMultilevel"/>
    <w:tmpl w:val="C56C54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40"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376077738">
    <w:abstractNumId w:val="11"/>
  </w:num>
  <w:num w:numId="2" w16cid:durableId="1069503654">
    <w:abstractNumId w:val="30"/>
  </w:num>
  <w:num w:numId="3" w16cid:durableId="933822861">
    <w:abstractNumId w:val="27"/>
  </w:num>
  <w:num w:numId="4" w16cid:durableId="1006639856">
    <w:abstractNumId w:val="16"/>
  </w:num>
  <w:num w:numId="5" w16cid:durableId="413745315">
    <w:abstractNumId w:val="15"/>
  </w:num>
  <w:num w:numId="6" w16cid:durableId="467212618">
    <w:abstractNumId w:val="33"/>
  </w:num>
  <w:num w:numId="7" w16cid:durableId="1503004933">
    <w:abstractNumId w:val="21"/>
  </w:num>
  <w:num w:numId="8" w16cid:durableId="1615210452">
    <w:abstractNumId w:val="17"/>
  </w:num>
  <w:num w:numId="9" w16cid:durableId="335546685">
    <w:abstractNumId w:val="38"/>
  </w:num>
  <w:num w:numId="10" w16cid:durableId="1319461073">
    <w:abstractNumId w:val="18"/>
  </w:num>
  <w:num w:numId="11" w16cid:durableId="330109021">
    <w:abstractNumId w:val="10"/>
  </w:num>
  <w:num w:numId="12" w16cid:durableId="631793958">
    <w:abstractNumId w:val="13"/>
  </w:num>
  <w:num w:numId="13" w16cid:durableId="1178084297">
    <w:abstractNumId w:val="19"/>
  </w:num>
  <w:num w:numId="14" w16cid:durableId="314067229">
    <w:abstractNumId w:val="35"/>
  </w:num>
  <w:num w:numId="15" w16cid:durableId="1485245755">
    <w:abstractNumId w:val="36"/>
  </w:num>
  <w:num w:numId="16" w16cid:durableId="963465627">
    <w:abstractNumId w:val="29"/>
  </w:num>
  <w:num w:numId="17" w16cid:durableId="1911646944">
    <w:abstractNumId w:val="23"/>
  </w:num>
  <w:num w:numId="18" w16cid:durableId="1317421814">
    <w:abstractNumId w:val="24"/>
  </w:num>
  <w:num w:numId="19" w16cid:durableId="643970886">
    <w:abstractNumId w:val="28"/>
  </w:num>
  <w:num w:numId="20" w16cid:durableId="637027395">
    <w:abstractNumId w:val="22"/>
  </w:num>
  <w:num w:numId="21" w16cid:durableId="332344608">
    <w:abstractNumId w:val="14"/>
  </w:num>
  <w:num w:numId="22" w16cid:durableId="1727141628">
    <w:abstractNumId w:val="40"/>
  </w:num>
  <w:num w:numId="23" w16cid:durableId="1821462422">
    <w:abstractNumId w:val="9"/>
  </w:num>
  <w:num w:numId="24" w16cid:durableId="1754933556">
    <w:abstractNumId w:val="12"/>
  </w:num>
  <w:num w:numId="25" w16cid:durableId="1650092545">
    <w:abstractNumId w:val="34"/>
  </w:num>
  <w:num w:numId="26" w16cid:durableId="2058815525">
    <w:abstractNumId w:val="32"/>
  </w:num>
  <w:num w:numId="27" w16cid:durableId="629212025">
    <w:abstractNumId w:val="8"/>
  </w:num>
  <w:num w:numId="28" w16cid:durableId="1872455252">
    <w:abstractNumId w:val="20"/>
  </w:num>
  <w:num w:numId="29" w16cid:durableId="156581348">
    <w:abstractNumId w:val="26"/>
  </w:num>
  <w:num w:numId="30" w16cid:durableId="1957179686">
    <w:abstractNumId w:val="10"/>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31" w16cid:durableId="525564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8728395">
    <w:abstractNumId w:val="39"/>
  </w:num>
  <w:num w:numId="33" w16cid:durableId="997147988">
    <w:abstractNumId w:val="37"/>
  </w:num>
  <w:num w:numId="34" w16cid:durableId="932713328">
    <w:abstractNumId w:val="28"/>
    <w:lvlOverride w:ilvl="0">
      <w:startOverride w:val="1"/>
    </w:lvlOverride>
  </w:num>
  <w:num w:numId="35" w16cid:durableId="871307196">
    <w:abstractNumId w:val="31"/>
  </w:num>
  <w:num w:numId="36" w16cid:durableId="925966344">
    <w:abstractNumId w:val="25"/>
  </w:num>
  <w:num w:numId="37" w16cid:durableId="301083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165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6430966">
    <w:abstractNumId w:val="6"/>
  </w:num>
  <w:num w:numId="40" w16cid:durableId="1729763475">
    <w:abstractNumId w:val="5"/>
  </w:num>
  <w:num w:numId="41" w16cid:durableId="2080319172">
    <w:abstractNumId w:val="4"/>
  </w:num>
  <w:num w:numId="42" w16cid:durableId="1712799151">
    <w:abstractNumId w:val="7"/>
  </w:num>
  <w:num w:numId="43" w16cid:durableId="872958997">
    <w:abstractNumId w:val="3"/>
  </w:num>
  <w:num w:numId="44" w16cid:durableId="66879405">
    <w:abstractNumId w:val="2"/>
  </w:num>
  <w:num w:numId="45" w16cid:durableId="1488398861">
    <w:abstractNumId w:val="1"/>
  </w:num>
  <w:num w:numId="46" w16cid:durableId="214342048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5C38"/>
    <w:rsid w:val="000864CC"/>
    <w:rsid w:val="000A5F11"/>
    <w:rsid w:val="000B4785"/>
    <w:rsid w:val="000C252F"/>
    <w:rsid w:val="000D6327"/>
    <w:rsid w:val="000D7F98"/>
    <w:rsid w:val="000E184A"/>
    <w:rsid w:val="000F08A2"/>
    <w:rsid w:val="000F49F8"/>
    <w:rsid w:val="001003DD"/>
    <w:rsid w:val="00103D30"/>
    <w:rsid w:val="00103E07"/>
    <w:rsid w:val="0010620F"/>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78C1"/>
    <w:rsid w:val="00177871"/>
    <w:rsid w:val="0018455C"/>
    <w:rsid w:val="001856E8"/>
    <w:rsid w:val="00190C51"/>
    <w:rsid w:val="001A2847"/>
    <w:rsid w:val="001D3F7D"/>
    <w:rsid w:val="001E6588"/>
    <w:rsid w:val="002047E5"/>
    <w:rsid w:val="002070B6"/>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23F55"/>
    <w:rsid w:val="003334EC"/>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1D16"/>
    <w:rsid w:val="003C6BD3"/>
    <w:rsid w:val="003C7E6C"/>
    <w:rsid w:val="003D58AF"/>
    <w:rsid w:val="003E148E"/>
    <w:rsid w:val="003F6570"/>
    <w:rsid w:val="00400230"/>
    <w:rsid w:val="00401459"/>
    <w:rsid w:val="00401C14"/>
    <w:rsid w:val="004038C2"/>
    <w:rsid w:val="0041201F"/>
    <w:rsid w:val="004154E2"/>
    <w:rsid w:val="00427619"/>
    <w:rsid w:val="004333F5"/>
    <w:rsid w:val="00436D9C"/>
    <w:rsid w:val="0044021D"/>
    <w:rsid w:val="00462DD5"/>
    <w:rsid w:val="004669FE"/>
    <w:rsid w:val="0046719D"/>
    <w:rsid w:val="0047297A"/>
    <w:rsid w:val="00481F1E"/>
    <w:rsid w:val="004935B1"/>
    <w:rsid w:val="004A5EE0"/>
    <w:rsid w:val="004B1AD0"/>
    <w:rsid w:val="004B1B40"/>
    <w:rsid w:val="004B248A"/>
    <w:rsid w:val="004B32C6"/>
    <w:rsid w:val="004B344B"/>
    <w:rsid w:val="004C092C"/>
    <w:rsid w:val="004E69E8"/>
    <w:rsid w:val="004F373E"/>
    <w:rsid w:val="005004D7"/>
    <w:rsid w:val="00506130"/>
    <w:rsid w:val="0050787B"/>
    <w:rsid w:val="005123BA"/>
    <w:rsid w:val="00520878"/>
    <w:rsid w:val="00523461"/>
    <w:rsid w:val="00524838"/>
    <w:rsid w:val="00525A4D"/>
    <w:rsid w:val="00534D53"/>
    <w:rsid w:val="00535C8E"/>
    <w:rsid w:val="005401BB"/>
    <w:rsid w:val="00555596"/>
    <w:rsid w:val="0056200F"/>
    <w:rsid w:val="00564259"/>
    <w:rsid w:val="00565EED"/>
    <w:rsid w:val="005717B0"/>
    <w:rsid w:val="00573349"/>
    <w:rsid w:val="0057343D"/>
    <w:rsid w:val="00576E02"/>
    <w:rsid w:val="00577F62"/>
    <w:rsid w:val="0058381B"/>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61A4C"/>
    <w:rsid w:val="00666D8B"/>
    <w:rsid w:val="00673278"/>
    <w:rsid w:val="00676632"/>
    <w:rsid w:val="00680F04"/>
    <w:rsid w:val="0068357E"/>
    <w:rsid w:val="006870DC"/>
    <w:rsid w:val="006A5B58"/>
    <w:rsid w:val="006A779C"/>
    <w:rsid w:val="006B32FC"/>
    <w:rsid w:val="006B3E11"/>
    <w:rsid w:val="006B5F77"/>
    <w:rsid w:val="006C6237"/>
    <w:rsid w:val="006C626C"/>
    <w:rsid w:val="006E2CB4"/>
    <w:rsid w:val="006E7174"/>
    <w:rsid w:val="006F033A"/>
    <w:rsid w:val="006F1FE2"/>
    <w:rsid w:val="006F2AE5"/>
    <w:rsid w:val="006F75EE"/>
    <w:rsid w:val="00703241"/>
    <w:rsid w:val="0070397B"/>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C74C1"/>
    <w:rsid w:val="007D5D7A"/>
    <w:rsid w:val="007E77E9"/>
    <w:rsid w:val="00802E10"/>
    <w:rsid w:val="008042C6"/>
    <w:rsid w:val="00815B75"/>
    <w:rsid w:val="00822B58"/>
    <w:rsid w:val="008363D9"/>
    <w:rsid w:val="008454A1"/>
    <w:rsid w:val="00846030"/>
    <w:rsid w:val="0084733E"/>
    <w:rsid w:val="00866D6B"/>
    <w:rsid w:val="00870C3B"/>
    <w:rsid w:val="00880608"/>
    <w:rsid w:val="00886877"/>
    <w:rsid w:val="00887208"/>
    <w:rsid w:val="00895B52"/>
    <w:rsid w:val="00896EB9"/>
    <w:rsid w:val="008A005E"/>
    <w:rsid w:val="008A3ECB"/>
    <w:rsid w:val="008A6371"/>
    <w:rsid w:val="008A6783"/>
    <w:rsid w:val="008B1999"/>
    <w:rsid w:val="008C02F5"/>
    <w:rsid w:val="008D2BBA"/>
    <w:rsid w:val="008D2BD5"/>
    <w:rsid w:val="008E21DE"/>
    <w:rsid w:val="008E31D0"/>
    <w:rsid w:val="008F3C49"/>
    <w:rsid w:val="008F42EB"/>
    <w:rsid w:val="008F771A"/>
    <w:rsid w:val="00914CBF"/>
    <w:rsid w:val="00921F18"/>
    <w:rsid w:val="009232FC"/>
    <w:rsid w:val="00926820"/>
    <w:rsid w:val="00931AE9"/>
    <w:rsid w:val="00931BAA"/>
    <w:rsid w:val="0094694D"/>
    <w:rsid w:val="00961DC8"/>
    <w:rsid w:val="00964CFF"/>
    <w:rsid w:val="00971C95"/>
    <w:rsid w:val="00975256"/>
    <w:rsid w:val="009805AC"/>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313B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14842"/>
    <w:rsid w:val="00B16FBD"/>
    <w:rsid w:val="00B204FC"/>
    <w:rsid w:val="00B232AA"/>
    <w:rsid w:val="00B500B9"/>
    <w:rsid w:val="00B51A2A"/>
    <w:rsid w:val="00B51CBC"/>
    <w:rsid w:val="00B55014"/>
    <w:rsid w:val="00B603C0"/>
    <w:rsid w:val="00B718D8"/>
    <w:rsid w:val="00B75CE8"/>
    <w:rsid w:val="00B76D9B"/>
    <w:rsid w:val="00B81573"/>
    <w:rsid w:val="00BA0F76"/>
    <w:rsid w:val="00BA7506"/>
    <w:rsid w:val="00BB2EBA"/>
    <w:rsid w:val="00BC3896"/>
    <w:rsid w:val="00BD1E78"/>
    <w:rsid w:val="00BF073A"/>
    <w:rsid w:val="00BF2F6F"/>
    <w:rsid w:val="00C02452"/>
    <w:rsid w:val="00C0421C"/>
    <w:rsid w:val="00C14289"/>
    <w:rsid w:val="00C218AF"/>
    <w:rsid w:val="00C25124"/>
    <w:rsid w:val="00C25556"/>
    <w:rsid w:val="00C33EEF"/>
    <w:rsid w:val="00C75CAF"/>
    <w:rsid w:val="00C80EF1"/>
    <w:rsid w:val="00C85308"/>
    <w:rsid w:val="00CB18A8"/>
    <w:rsid w:val="00CB5065"/>
    <w:rsid w:val="00CC1A35"/>
    <w:rsid w:val="00CC6119"/>
    <w:rsid w:val="00CD17D1"/>
    <w:rsid w:val="00CE0C82"/>
    <w:rsid w:val="00CE4A14"/>
    <w:rsid w:val="00D039CE"/>
    <w:rsid w:val="00D14EBF"/>
    <w:rsid w:val="00D20A13"/>
    <w:rsid w:val="00D21CE5"/>
    <w:rsid w:val="00D231B3"/>
    <w:rsid w:val="00D267B0"/>
    <w:rsid w:val="00D30F29"/>
    <w:rsid w:val="00D31881"/>
    <w:rsid w:val="00D37453"/>
    <w:rsid w:val="00D43E5F"/>
    <w:rsid w:val="00D45412"/>
    <w:rsid w:val="00D4619A"/>
    <w:rsid w:val="00D608F6"/>
    <w:rsid w:val="00D66BC9"/>
    <w:rsid w:val="00D70B82"/>
    <w:rsid w:val="00D761E1"/>
    <w:rsid w:val="00D90E57"/>
    <w:rsid w:val="00D93D1B"/>
    <w:rsid w:val="00D95845"/>
    <w:rsid w:val="00DA007A"/>
    <w:rsid w:val="00DA624B"/>
    <w:rsid w:val="00DB4A1A"/>
    <w:rsid w:val="00DB4A62"/>
    <w:rsid w:val="00DB5D16"/>
    <w:rsid w:val="00DC238F"/>
    <w:rsid w:val="00DC28A1"/>
    <w:rsid w:val="00DE1691"/>
    <w:rsid w:val="00DF476E"/>
    <w:rsid w:val="00DF74BA"/>
    <w:rsid w:val="00E06B80"/>
    <w:rsid w:val="00E15F41"/>
    <w:rsid w:val="00E234EE"/>
    <w:rsid w:val="00E23855"/>
    <w:rsid w:val="00E274D6"/>
    <w:rsid w:val="00E27695"/>
    <w:rsid w:val="00E342FE"/>
    <w:rsid w:val="00E4772B"/>
    <w:rsid w:val="00E548F2"/>
    <w:rsid w:val="00E54DD2"/>
    <w:rsid w:val="00E5677A"/>
    <w:rsid w:val="00E60932"/>
    <w:rsid w:val="00E67804"/>
    <w:rsid w:val="00E71783"/>
    <w:rsid w:val="00E90665"/>
    <w:rsid w:val="00E93772"/>
    <w:rsid w:val="00E93A7D"/>
    <w:rsid w:val="00EA1387"/>
    <w:rsid w:val="00EA3635"/>
    <w:rsid w:val="00EA3E6F"/>
    <w:rsid w:val="00EC2E28"/>
    <w:rsid w:val="00ED2E00"/>
    <w:rsid w:val="00ED32E2"/>
    <w:rsid w:val="00EE2D53"/>
    <w:rsid w:val="00EF23B6"/>
    <w:rsid w:val="00F0368E"/>
    <w:rsid w:val="00F12E10"/>
    <w:rsid w:val="00F15AF6"/>
    <w:rsid w:val="00F20D86"/>
    <w:rsid w:val="00F226E9"/>
    <w:rsid w:val="00F27D7E"/>
    <w:rsid w:val="00F30677"/>
    <w:rsid w:val="00F339A1"/>
    <w:rsid w:val="00F35003"/>
    <w:rsid w:val="00F479CC"/>
    <w:rsid w:val="00F62B04"/>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E5"/>
    <w:pPr>
      <w:suppressAutoHyphens/>
      <w:spacing w:line="360" w:lineRule="auto"/>
    </w:pPr>
    <w:rPr>
      <w:rFonts w:ascii="Calibri" w:hAnsi="Calibri"/>
      <w:color w:val="0C233F"/>
    </w:rPr>
  </w:style>
  <w:style w:type="paragraph" w:styleId="Heading1">
    <w:name w:val="heading 1"/>
    <w:basedOn w:val="Normal"/>
    <w:next w:val="Normal"/>
    <w:link w:val="Heading1Char"/>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qFormat/>
    <w:rsid w:val="003C7E6C"/>
    <w:pPr>
      <w:keepNext/>
      <w:keepLines/>
      <w:numPr>
        <w:numId w:val="15"/>
      </w:numPr>
      <w:spacing w:before="280" w:after="240" w:line="340" w:lineRule="atLeast"/>
      <w:ind w:left="426" w:hanging="426"/>
      <w:outlineLvl w:val="2"/>
    </w:pPr>
    <w:rPr>
      <w:rFonts w:eastAsiaTheme="majorEastAsia" w:cstheme="majorBidi"/>
      <w:b/>
      <w:sz w:val="28"/>
      <w:szCs w:val="24"/>
    </w:rPr>
  </w:style>
  <w:style w:type="paragraph" w:styleId="Heading4">
    <w:name w:val="heading 4"/>
    <w:aliases w:val="FWA Heading 4"/>
    <w:basedOn w:val="Normal"/>
    <w:next w:val="Normal"/>
    <w:link w:val="Heading4Char"/>
    <w:autoRedefine/>
    <w:unhideWhenUsed/>
    <w:qFormat/>
    <w:rsid w:val="00C25124"/>
    <w:pPr>
      <w:keepNext/>
      <w:keepLines/>
      <w:tabs>
        <w:tab w:val="left" w:pos="709"/>
      </w:tabs>
      <w:spacing w:before="280" w:after="0"/>
      <w:contextualSpacing/>
      <w:outlineLvl w:val="3"/>
    </w:pPr>
    <w:rPr>
      <w:rFonts w:eastAsiaTheme="majorEastAsia" w:cstheme="majorBidi"/>
      <w:b/>
      <w:iCs/>
    </w:rPr>
  </w:style>
  <w:style w:type="paragraph" w:styleId="Heading5">
    <w:name w:val="heading 5"/>
    <w:basedOn w:val="Normal"/>
    <w:next w:val="Normal"/>
    <w:link w:val="Heading5Char"/>
    <w:unhideWhenUsed/>
    <w:qFormat/>
    <w:rsid w:val="003C1D16"/>
    <w:pPr>
      <w:keepNext/>
      <w:keepLines/>
      <w:spacing w:before="280"/>
      <w:outlineLvl w:val="4"/>
    </w:pPr>
    <w:rPr>
      <w:rFonts w:eastAsiaTheme="majorEastAsia" w:cstheme="majorBidi"/>
      <w:b/>
    </w:rPr>
  </w:style>
  <w:style w:type="paragraph" w:styleId="Heading6">
    <w:name w:val="heading 6"/>
    <w:aliases w:val="Large Heading 1 - not in contents"/>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nhideWhenUsed/>
    <w:qFormat/>
    <w:rsid w:val="00234C9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A313BC"/>
    <w:pPr>
      <w:keepNext/>
      <w:tabs>
        <w:tab w:val="left" w:pos="567"/>
        <w:tab w:val="left" w:pos="1134"/>
        <w:tab w:val="left" w:pos="2016"/>
        <w:tab w:val="left" w:pos="8496"/>
        <w:tab w:val="right" w:pos="10512"/>
      </w:tabs>
      <w:suppressAutoHyphens w:val="0"/>
      <w:spacing w:before="0" w:after="0" w:line="240" w:lineRule="auto"/>
      <w:ind w:right="282"/>
      <w:outlineLvl w:val="8"/>
    </w:pPr>
    <w:rPr>
      <w:rFonts w:ascii="Arial" w:eastAsia="Times New Roman" w:hAnsi="Arial" w:cs="Times New Roman"/>
      <w:b/>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6F2AE5"/>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3C7E6C"/>
    <w:rPr>
      <w:rFonts w:ascii="Calibri" w:eastAsiaTheme="majorEastAsia" w:hAnsi="Calibri" w:cstheme="majorBidi"/>
      <w:b/>
      <w:color w:val="0C233F"/>
      <w:sz w:val="28"/>
      <w:szCs w:val="24"/>
    </w:rPr>
  </w:style>
  <w:style w:type="character" w:customStyle="1" w:styleId="Heading4Char">
    <w:name w:val="Heading 4 Char"/>
    <w:aliases w:val="FWA Heading 4 Char"/>
    <w:basedOn w:val="DefaultParagraphFont"/>
    <w:link w:val="Heading4"/>
    <w:rsid w:val="00C25124"/>
    <w:rPr>
      <w:rFonts w:ascii="Calibri" w:eastAsiaTheme="majorEastAsia" w:hAnsi="Calibri" w:cstheme="majorBidi"/>
      <w:b/>
      <w:iCs/>
      <w:color w:val="0C233F"/>
    </w:rPr>
  </w:style>
  <w:style w:type="character" w:customStyle="1" w:styleId="Heading5Char">
    <w:name w:val="Heading 5 Char"/>
    <w:basedOn w:val="DefaultParagraphFont"/>
    <w:link w:val="Heading5"/>
    <w:rsid w:val="003C1D16"/>
    <w:rPr>
      <w:rFonts w:ascii="Calibri" w:eastAsiaTheme="majorEastAsia" w:hAnsi="Calibri" w:cstheme="majorBidi"/>
      <w:b/>
      <w:color w:val="0C233F"/>
    </w:rPr>
  </w:style>
  <w:style w:type="character" w:customStyle="1" w:styleId="Heading6Char">
    <w:name w:val="Heading 6 Char"/>
    <w:aliases w:val="Large Heading 1 - not in contents Char"/>
    <w:basedOn w:val="DefaultParagraphFont"/>
    <w:link w:val="Heading6"/>
    <w:rsid w:val="00006F13"/>
    <w:rPr>
      <w:rFonts w:ascii="Lato" w:eastAsiaTheme="majorEastAsia" w:hAnsi="Lato" w:cstheme="majorBidi"/>
      <w:b/>
      <w:i/>
    </w:rPr>
  </w:style>
  <w:style w:type="character" w:customStyle="1" w:styleId="Heading7Char">
    <w:name w:val="Heading 7 Char"/>
    <w:basedOn w:val="DefaultParagraphFont"/>
    <w:link w:val="Heading7"/>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6F2AE5"/>
    <w:rPr>
      <w:sz w:val="18"/>
    </w:rPr>
  </w:style>
  <w:style w:type="paragraph" w:styleId="IntenseQuote">
    <w:name w:val="Intense Quote"/>
    <w:basedOn w:val="Normal"/>
    <w:next w:val="Normal"/>
    <w:link w:val="IntenseQuoteChar"/>
    <w:uiPriority w:val="35"/>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rsid w:val="00880608"/>
    <w:rPr>
      <w:rFonts w:ascii="Lato" w:hAnsi="Lato"/>
      <w:i/>
      <w:iCs/>
      <w:color w:val="262626"/>
      <w:shd w:val="clear" w:color="auto" w:fill="FFD600"/>
    </w:rPr>
  </w:style>
  <w:style w:type="character" w:styleId="IntenseReference">
    <w:name w:val="Intense Reference"/>
    <w:basedOn w:val="DefaultParagraphFont"/>
    <w:uiPriority w:val="37"/>
    <w:unhideWhenUsed/>
    <w:qFormat/>
    <w:rsid w:val="00880608"/>
    <w:rPr>
      <w:rFonts w:ascii="Lato" w:hAnsi="Lato"/>
      <w:b/>
      <w:bCs/>
      <w:smallCaps/>
      <w:color w:val="AD338B" w:themeColor="accent4"/>
      <w:spacing w:val="5"/>
    </w:rPr>
  </w:style>
  <w:style w:type="paragraph" w:styleId="BlockText">
    <w:name w:val="Block Text"/>
    <w:basedOn w:val="Normal"/>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nhideWhenUsed/>
    <w:rsid w:val="001856E8"/>
    <w:rPr>
      <w:sz w:val="16"/>
      <w:szCs w:val="16"/>
    </w:rPr>
  </w:style>
  <w:style w:type="paragraph" w:styleId="CommentText">
    <w:name w:val="annotation text"/>
    <w:basedOn w:val="Normal"/>
    <w:link w:val="CommentTextChar"/>
    <w:unhideWhenUsed/>
    <w:rsid w:val="001856E8"/>
    <w:pPr>
      <w:spacing w:line="240" w:lineRule="auto"/>
    </w:pPr>
    <w:rPr>
      <w:sz w:val="20"/>
      <w:szCs w:val="20"/>
    </w:rPr>
  </w:style>
  <w:style w:type="character" w:customStyle="1" w:styleId="CommentTextChar">
    <w:name w:val="Comment Text Char"/>
    <w:basedOn w:val="DefaultParagraphFont"/>
    <w:link w:val="CommentText"/>
    <w:rsid w:val="001856E8"/>
    <w:rPr>
      <w:rFonts w:ascii="Lato" w:hAnsi="Lato"/>
      <w:color w:val="111C2C"/>
      <w:sz w:val="20"/>
      <w:szCs w:val="20"/>
    </w:rPr>
  </w:style>
  <w:style w:type="paragraph" w:styleId="CommentSubject">
    <w:name w:val="annotation subject"/>
    <w:basedOn w:val="CommentText"/>
    <w:next w:val="CommentText"/>
    <w:link w:val="CommentSubjectChar"/>
    <w:unhideWhenUsed/>
    <w:rsid w:val="001856E8"/>
    <w:rPr>
      <w:b/>
      <w:bCs/>
    </w:rPr>
  </w:style>
  <w:style w:type="character" w:customStyle="1" w:styleId="CommentSubjectChar">
    <w:name w:val="Comment Subject Char"/>
    <w:basedOn w:val="CommentTextChar"/>
    <w:link w:val="CommentSubject"/>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character" w:customStyle="1" w:styleId="Heading9Char">
    <w:name w:val="Heading 9 Char"/>
    <w:basedOn w:val="DefaultParagraphFont"/>
    <w:link w:val="Heading9"/>
    <w:rsid w:val="00A313BC"/>
    <w:rPr>
      <w:rFonts w:ascii="Arial" w:eastAsia="Times New Roman" w:hAnsi="Arial" w:cs="Times New Roman"/>
      <w:b/>
      <w:color w:val="auto"/>
      <w:sz w:val="18"/>
      <w:szCs w:val="20"/>
    </w:rPr>
  </w:style>
  <w:style w:type="paragraph" w:styleId="TOC1">
    <w:name w:val="toc 1"/>
    <w:basedOn w:val="Normal"/>
    <w:next w:val="Normal"/>
    <w:autoRedefine/>
    <w:uiPriority w:val="39"/>
    <w:unhideWhenUsed/>
    <w:qFormat/>
    <w:rsid w:val="00A313BC"/>
    <w:pPr>
      <w:tabs>
        <w:tab w:val="right" w:leader="dot" w:pos="9060"/>
      </w:tabs>
      <w:spacing w:after="100"/>
    </w:pPr>
    <w:rPr>
      <w:b/>
      <w:bCs/>
      <w:color w:val="111C2C"/>
      <w:sz w:val="36"/>
      <w:szCs w:val="36"/>
    </w:rPr>
  </w:style>
  <w:style w:type="paragraph" w:customStyle="1" w:styleId="Default">
    <w:name w:val="Default"/>
    <w:rsid w:val="00A313BC"/>
    <w:pPr>
      <w:autoSpaceDE w:val="0"/>
      <w:autoSpaceDN w:val="0"/>
      <w:adjustRightInd w:val="0"/>
      <w:spacing w:before="0" w:after="0" w:line="240" w:lineRule="auto"/>
    </w:pPr>
    <w:rPr>
      <w:rFonts w:ascii="Arial" w:hAnsi="Arial" w:cs="Arial"/>
      <w:color w:val="000000"/>
      <w:sz w:val="24"/>
      <w:szCs w:val="24"/>
    </w:rPr>
  </w:style>
  <w:style w:type="paragraph" w:styleId="NormalWeb">
    <w:name w:val="Normal (Web)"/>
    <w:basedOn w:val="Normal"/>
    <w:uiPriority w:val="99"/>
    <w:unhideWhenUsed/>
    <w:rsid w:val="00A313BC"/>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A313BC"/>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A313BC"/>
    <w:pPr>
      <w:suppressAutoHyphens w:val="0"/>
      <w:spacing w:before="0" w:after="120" w:line="276" w:lineRule="auto"/>
      <w:ind w:left="720"/>
    </w:pPr>
    <w:rPr>
      <w:rFonts w:ascii="Arial" w:hAnsi="Arial" w:cs="Arial"/>
      <w:i/>
      <w:color w:val="auto"/>
      <w:sz w:val="20"/>
      <w:szCs w:val="20"/>
    </w:rPr>
  </w:style>
  <w:style w:type="character" w:customStyle="1" w:styleId="QuotetextChar">
    <w:name w:val="Quote text Char"/>
    <w:basedOn w:val="DefaultParagraphFont"/>
    <w:link w:val="Quotetext"/>
    <w:uiPriority w:val="6"/>
    <w:rsid w:val="00A313BC"/>
    <w:rPr>
      <w:rFonts w:ascii="Arial" w:hAnsi="Arial" w:cs="Arial"/>
      <w:i/>
      <w:color w:val="auto"/>
      <w:sz w:val="20"/>
      <w:szCs w:val="20"/>
    </w:rPr>
  </w:style>
  <w:style w:type="paragraph" w:customStyle="1" w:styleId="NumberedBullet">
    <w:name w:val="Numbered Bullet"/>
    <w:basedOn w:val="Bulletpoint"/>
    <w:link w:val="NumberedBulletChar"/>
    <w:uiPriority w:val="4"/>
    <w:qFormat/>
    <w:rsid w:val="00A313BC"/>
    <w:pPr>
      <w:numPr>
        <w:numId w:val="16"/>
      </w:numPr>
      <w:spacing w:before="60" w:after="60"/>
      <w:ind w:left="1797" w:hanging="357"/>
    </w:pPr>
  </w:style>
  <w:style w:type="paragraph" w:customStyle="1" w:styleId="LetteredBullet">
    <w:name w:val="Lettered Bullet"/>
    <w:basedOn w:val="NumberedBullet"/>
    <w:link w:val="LetteredBulletChar"/>
    <w:uiPriority w:val="4"/>
    <w:qFormat/>
    <w:rsid w:val="00A313BC"/>
    <w:pPr>
      <w:numPr>
        <w:numId w:val="17"/>
      </w:numPr>
      <w:ind w:left="1077" w:hanging="357"/>
    </w:pPr>
  </w:style>
  <w:style w:type="character" w:customStyle="1" w:styleId="NumberedBulletChar">
    <w:name w:val="Numbered Bullet Char"/>
    <w:basedOn w:val="BulletpointChar"/>
    <w:link w:val="NumberedBullet"/>
    <w:uiPriority w:val="4"/>
    <w:rsid w:val="00A313BC"/>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A313BC"/>
    <w:rPr>
      <w:rFonts w:ascii="Arial" w:eastAsia="Times New Roman" w:hAnsi="Arial" w:cs="Times New Roman"/>
      <w:color w:val="auto"/>
      <w:szCs w:val="24"/>
      <w:lang w:val="en-GB"/>
    </w:rPr>
  </w:style>
  <w:style w:type="paragraph" w:customStyle="1" w:styleId="CoverHeading">
    <w:name w:val="Cover Heading"/>
    <w:basedOn w:val="Heading1"/>
    <w:link w:val="CoverHeadingChar"/>
    <w:qFormat/>
    <w:rsid w:val="00A313BC"/>
    <w:pPr>
      <w:suppressAutoHyphens w:val="0"/>
      <w:spacing w:after="0" w:line="240" w:lineRule="auto"/>
      <w:ind w:left="390"/>
    </w:pPr>
    <w:rPr>
      <w:rFonts w:ascii="Arial" w:hAnsi="Arial"/>
      <w:b w:val="0"/>
      <w:bCs/>
      <w:color w:val="4A8000"/>
      <w:sz w:val="52"/>
      <w:szCs w:val="28"/>
    </w:rPr>
  </w:style>
  <w:style w:type="paragraph" w:styleId="TOCHeading">
    <w:name w:val="TOC Heading"/>
    <w:basedOn w:val="Heading1"/>
    <w:next w:val="Normal"/>
    <w:uiPriority w:val="39"/>
    <w:unhideWhenUsed/>
    <w:rsid w:val="00A313BC"/>
    <w:pPr>
      <w:suppressAutoHyphens w:val="0"/>
      <w:spacing w:before="240" w:after="0" w:line="259" w:lineRule="auto"/>
      <w:outlineLvl w:val="9"/>
    </w:pPr>
    <w:rPr>
      <w:rFonts w:asciiTheme="majorHAnsi" w:hAnsiTheme="majorHAnsi"/>
      <w:b w:val="0"/>
      <w:color w:val="AD8400" w:themeColor="accent1" w:themeShade="BF"/>
      <w:sz w:val="32"/>
      <w:lang w:val="en-US"/>
    </w:rPr>
  </w:style>
  <w:style w:type="character" w:customStyle="1" w:styleId="CoverHeadingChar">
    <w:name w:val="Cover Heading Char"/>
    <w:basedOn w:val="Heading1Char"/>
    <w:link w:val="CoverHeading"/>
    <w:rsid w:val="00A313BC"/>
    <w:rPr>
      <w:rFonts w:ascii="Arial" w:eastAsiaTheme="majorEastAsia" w:hAnsi="Arial" w:cstheme="majorBidi"/>
      <w:b w:val="0"/>
      <w:bCs/>
      <w:color w:val="4A8000"/>
      <w:sz w:val="52"/>
      <w:szCs w:val="28"/>
    </w:rPr>
  </w:style>
  <w:style w:type="paragraph" w:styleId="TOC2">
    <w:name w:val="toc 2"/>
    <w:basedOn w:val="Normal"/>
    <w:next w:val="Normal"/>
    <w:autoRedefine/>
    <w:uiPriority w:val="39"/>
    <w:unhideWhenUsed/>
    <w:rsid w:val="00A313BC"/>
    <w:pPr>
      <w:suppressAutoHyphens w:val="0"/>
      <w:spacing w:before="0" w:after="100" w:line="276" w:lineRule="auto"/>
      <w:ind w:left="220"/>
    </w:pPr>
    <w:rPr>
      <w:rFonts w:ascii="Arial" w:hAnsi="Arial"/>
      <w:color w:val="auto"/>
    </w:rPr>
  </w:style>
  <w:style w:type="paragraph" w:customStyle="1" w:styleId="CERbullets">
    <w:name w:val="CER bullets"/>
    <w:basedOn w:val="Normal"/>
    <w:link w:val="CERbulletsChar"/>
    <w:uiPriority w:val="7"/>
    <w:rsid w:val="00A313BC"/>
    <w:pPr>
      <w:numPr>
        <w:numId w:val="18"/>
      </w:numPr>
      <w:suppressAutoHyphens w:val="0"/>
      <w:spacing w:before="120" w:after="120" w:line="240" w:lineRule="auto"/>
    </w:pPr>
    <w:rPr>
      <w:rFonts w:asciiTheme="minorHAnsi" w:eastAsia="Cambria" w:hAnsiTheme="minorHAnsi" w:cstheme="minorHAnsi"/>
      <w:color w:val="auto"/>
      <w:szCs w:val="24"/>
    </w:rPr>
  </w:style>
  <w:style w:type="character" w:customStyle="1" w:styleId="CERbulletsChar">
    <w:name w:val="CER bullets Char"/>
    <w:basedOn w:val="DefaultParagraphFont"/>
    <w:link w:val="CERbullets"/>
    <w:uiPriority w:val="7"/>
    <w:rsid w:val="00A313BC"/>
    <w:rPr>
      <w:rFonts w:eastAsia="Cambria" w:cstheme="minorHAnsi"/>
      <w:color w:val="auto"/>
      <w:szCs w:val="24"/>
    </w:rPr>
  </w:style>
  <w:style w:type="paragraph" w:customStyle="1" w:styleId="subsection">
    <w:name w:val="subsection"/>
    <w:aliases w:val="ss"/>
    <w:basedOn w:val="Normal"/>
    <w:link w:val="subsectionChar"/>
    <w:rsid w:val="00A313B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aliases w:val="a"/>
    <w:basedOn w:val="Normal"/>
    <w:link w:val="paragraphChar0"/>
    <w:rsid w:val="00A313B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ragraphChar0">
    <w:name w:val="paragraph Char"/>
    <w:aliases w:val="a Char"/>
    <w:link w:val="paragraph0"/>
    <w:locked/>
    <w:rsid w:val="00A313BC"/>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link w:val="subsection"/>
    <w:locked/>
    <w:rsid w:val="00A313BC"/>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313BC"/>
  </w:style>
  <w:style w:type="paragraph" w:customStyle="1" w:styleId="paragraphsub">
    <w:name w:val="paragraph(sub)"/>
    <w:aliases w:val="aa"/>
    <w:basedOn w:val="Normal"/>
    <w:rsid w:val="00A313BC"/>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eastAsia="en-AU"/>
    </w:rPr>
  </w:style>
  <w:style w:type="paragraph" w:customStyle="1" w:styleId="NumberBullet2">
    <w:name w:val="Number Bullet 2"/>
    <w:basedOn w:val="Normal"/>
    <w:link w:val="NumberBullet2Char"/>
    <w:qFormat/>
    <w:rsid w:val="00A313BC"/>
    <w:pPr>
      <w:numPr>
        <w:numId w:val="19"/>
      </w:numPr>
      <w:suppressAutoHyphens w:val="0"/>
      <w:spacing w:before="0" w:after="200" w:line="276" w:lineRule="auto"/>
    </w:pPr>
    <w:rPr>
      <w:rFonts w:ascii="Arial" w:eastAsia="Times New Roman" w:hAnsi="Arial"/>
      <w:color w:val="auto"/>
      <w:lang w:eastAsia="en-AU"/>
    </w:rPr>
  </w:style>
  <w:style w:type="paragraph" w:styleId="TOC3">
    <w:name w:val="toc 3"/>
    <w:basedOn w:val="Normal"/>
    <w:next w:val="Normal"/>
    <w:autoRedefine/>
    <w:uiPriority w:val="39"/>
    <w:unhideWhenUsed/>
    <w:rsid w:val="00A313BC"/>
    <w:pPr>
      <w:suppressAutoHyphens w:val="0"/>
      <w:spacing w:before="0" w:after="100" w:line="276" w:lineRule="auto"/>
      <w:ind w:left="440"/>
    </w:pPr>
    <w:rPr>
      <w:rFonts w:ascii="Arial" w:hAnsi="Arial"/>
      <w:color w:val="auto"/>
    </w:rPr>
  </w:style>
  <w:style w:type="character" w:customStyle="1" w:styleId="NumberBullet2Char">
    <w:name w:val="Number Bullet 2 Char"/>
    <w:basedOn w:val="DefaultParagraphFont"/>
    <w:link w:val="NumberBullet2"/>
    <w:rsid w:val="00A313BC"/>
    <w:rPr>
      <w:rFonts w:ascii="Arial" w:eastAsia="Times New Roman" w:hAnsi="Arial"/>
      <w:color w:val="auto"/>
      <w:lang w:eastAsia="en-AU"/>
    </w:rPr>
  </w:style>
  <w:style w:type="paragraph" w:customStyle="1" w:styleId="FSHeading1">
    <w:name w:val="FS Heading 1"/>
    <w:uiPriority w:val="99"/>
    <w:rsid w:val="00A313BC"/>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A313BC"/>
    <w:pPr>
      <w:widowControl w:val="0"/>
      <w:tabs>
        <w:tab w:val="right" w:pos="144"/>
        <w:tab w:val="left" w:pos="504"/>
      </w:tabs>
      <w:autoSpaceDE w:val="0"/>
      <w:autoSpaceDN w:val="0"/>
      <w:adjustRightInd w:val="0"/>
      <w:spacing w:before="0"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A313BC"/>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A313BC"/>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A313BC"/>
    <w:pPr>
      <w:tabs>
        <w:tab w:val="num" w:pos="567"/>
        <w:tab w:val="left" w:pos="1134"/>
      </w:tabs>
      <w:suppressAutoHyphens w:val="0"/>
      <w:spacing w:before="120" w:after="240" w:line="240" w:lineRule="atLeast"/>
      <w:ind w:left="567" w:right="567" w:hanging="567"/>
      <w:outlineLvl w:val="0"/>
    </w:pPr>
    <w:rPr>
      <w:rFonts w:ascii="Arial" w:eastAsia="Times New Roman" w:hAnsi="Arial" w:cs="Times New Roman"/>
      <w:color w:val="auto"/>
      <w:sz w:val="20"/>
      <w:szCs w:val="24"/>
      <w:lang w:val="en-GB"/>
    </w:rPr>
  </w:style>
  <w:style w:type="paragraph" w:customStyle="1" w:styleId="Note-Text">
    <w:name w:val="Note - Text"/>
    <w:qFormat/>
    <w:rsid w:val="00A313BC"/>
    <w:pPr>
      <w:shd w:val="clear" w:color="auto" w:fill="FFFFFF" w:themeFill="background1"/>
      <w:snapToGrid w:val="0"/>
      <w:spacing w:before="0" w:after="120" w:line="240" w:lineRule="auto"/>
      <w:ind w:right="113"/>
    </w:pPr>
    <w:rPr>
      <w:rFonts w:ascii="Calibri" w:eastAsiaTheme="minorEastAsia" w:hAnsi="Calibri" w:cs="Arial"/>
      <w:color w:val="auto"/>
      <w:szCs w:val="20"/>
      <w:lang w:eastAsia="ar-SA"/>
    </w:rPr>
  </w:style>
  <w:style w:type="paragraph" w:styleId="BodyTextIndent3">
    <w:name w:val="Body Text Indent 3"/>
    <w:basedOn w:val="Normal"/>
    <w:link w:val="BodyTextIndent3Char"/>
    <w:rsid w:val="00A313BC"/>
    <w:pPr>
      <w:tabs>
        <w:tab w:val="left" w:pos="567"/>
      </w:tabs>
      <w:suppressAutoHyphens w:val="0"/>
      <w:autoSpaceDE w:val="0"/>
      <w:autoSpaceDN w:val="0"/>
      <w:adjustRightInd w:val="0"/>
      <w:spacing w:before="0" w:after="0" w:line="240" w:lineRule="auto"/>
      <w:ind w:left="567" w:hanging="567"/>
    </w:pPr>
    <w:rPr>
      <w:rFonts w:ascii="Arial" w:eastAsia="Times New Roman" w:hAnsi="Arial" w:cs="Arial"/>
      <w:color w:val="000000"/>
      <w:sz w:val="20"/>
      <w:szCs w:val="20"/>
      <w:lang w:val="en-US"/>
    </w:rPr>
  </w:style>
  <w:style w:type="character" w:customStyle="1" w:styleId="BodyTextIndent3Char">
    <w:name w:val="Body Text Indent 3 Char"/>
    <w:basedOn w:val="DefaultParagraphFont"/>
    <w:link w:val="BodyTextIndent3"/>
    <w:rsid w:val="00A313BC"/>
    <w:rPr>
      <w:rFonts w:ascii="Arial" w:eastAsia="Times New Roman" w:hAnsi="Arial" w:cs="Arial"/>
      <w:color w:val="000000"/>
      <w:sz w:val="20"/>
      <w:szCs w:val="20"/>
      <w:lang w:val="en-US"/>
    </w:rPr>
  </w:style>
  <w:style w:type="paragraph" w:customStyle="1" w:styleId="NoteText">
    <w:name w:val="Note Text"/>
    <w:basedOn w:val="Normal"/>
    <w:autoRedefine/>
    <w:rsid w:val="00A313BC"/>
    <w:pPr>
      <w:tabs>
        <w:tab w:val="left" w:pos="567"/>
      </w:tabs>
      <w:suppressAutoHyphens w:val="0"/>
      <w:spacing w:before="0" w:after="0" w:line="240" w:lineRule="auto"/>
      <w:ind w:left="567" w:right="111"/>
      <w:jc w:val="both"/>
    </w:pPr>
    <w:rPr>
      <w:rFonts w:ascii="Arial" w:eastAsia="Times New Roman" w:hAnsi="Arial" w:cs="Arial"/>
      <w:color w:val="auto"/>
      <w:sz w:val="20"/>
      <w:szCs w:val="20"/>
    </w:rPr>
  </w:style>
  <w:style w:type="paragraph" w:customStyle="1" w:styleId="Policy">
    <w:name w:val="Policy"/>
    <w:qFormat/>
    <w:rsid w:val="00A313BC"/>
    <w:pPr>
      <w:spacing w:before="0" w:after="0" w:line="240" w:lineRule="auto"/>
    </w:pPr>
    <w:rPr>
      <w:rFonts w:ascii="Calibri" w:eastAsiaTheme="minorEastAsia" w:hAnsi="Calibri" w:cs="Arial"/>
      <w:sz w:val="20"/>
      <w:szCs w:val="20"/>
      <w:lang w:eastAsia="ar-SA"/>
    </w:rPr>
  </w:style>
  <w:style w:type="paragraph" w:customStyle="1" w:styleId="Policyheader">
    <w:name w:val="Policy header"/>
    <w:rsid w:val="00A313BC"/>
    <w:pPr>
      <w:spacing w:before="0" w:after="0" w:line="240" w:lineRule="auto"/>
    </w:pPr>
    <w:rPr>
      <w:rFonts w:ascii="Calibri" w:eastAsia="Arial" w:hAnsi="Calibri" w:cs="Arial"/>
      <w:b/>
      <w:color w:val="auto"/>
      <w:szCs w:val="18"/>
      <w:lang w:eastAsia="ar-SA"/>
    </w:rPr>
  </w:style>
  <w:style w:type="paragraph" w:customStyle="1" w:styleId="Commentary-Text">
    <w:name w:val="Commentary - Text"/>
    <w:qFormat/>
    <w:rsid w:val="00A313BC"/>
    <w:pPr>
      <w:spacing w:before="0" w:after="60" w:line="240" w:lineRule="auto"/>
    </w:pPr>
    <w:rPr>
      <w:rFonts w:eastAsiaTheme="minorEastAsia" w:cs="Times New Roman"/>
      <w:color w:val="000000" w:themeColor="text2" w:themeShade="BF"/>
      <w:szCs w:val="24"/>
      <w:lang w:eastAsia="en-AU"/>
    </w:rPr>
  </w:style>
  <w:style w:type="paragraph" w:customStyle="1" w:styleId="CitationQuote">
    <w:name w:val="Citation/Quote"/>
    <w:basedOn w:val="Normal"/>
    <w:next w:val="Normal"/>
    <w:semiHidden/>
    <w:rsid w:val="00A313BC"/>
    <w:pPr>
      <w:suppressAutoHyphens w:val="0"/>
      <w:spacing w:before="40" w:after="160" w:line="240" w:lineRule="atLeast"/>
      <w:ind w:left="567"/>
    </w:pPr>
    <w:rPr>
      <w:rFonts w:ascii="Arial" w:eastAsia="Times New Roman" w:hAnsi="Arial" w:cs="Times New Roman"/>
      <w:color w:val="auto"/>
      <w:sz w:val="20"/>
      <w:szCs w:val="20"/>
      <w:lang w:eastAsia="en-AU"/>
    </w:rPr>
  </w:style>
  <w:style w:type="paragraph" w:styleId="BodyTextIndent">
    <w:name w:val="Body Text Indent"/>
    <w:basedOn w:val="Normal"/>
    <w:link w:val="BodyTextIndentChar"/>
    <w:rsid w:val="00A313BC"/>
    <w:pPr>
      <w:suppressAutoHyphens w:val="0"/>
      <w:spacing w:before="40" w:after="160" w:line="260" w:lineRule="exact"/>
      <w:ind w:left="283"/>
    </w:pPr>
    <w:rPr>
      <w:rFonts w:ascii="Arial" w:eastAsia="Times New Roman" w:hAnsi="Arial" w:cs="Times New Roman"/>
      <w:color w:val="auto"/>
      <w:szCs w:val="20"/>
      <w:lang w:eastAsia="en-AU"/>
    </w:rPr>
  </w:style>
  <w:style w:type="character" w:customStyle="1" w:styleId="BodyTextIndentChar">
    <w:name w:val="Body Text Indent Char"/>
    <w:basedOn w:val="DefaultParagraphFont"/>
    <w:link w:val="BodyTextIndent"/>
    <w:rsid w:val="00A313BC"/>
    <w:rPr>
      <w:rFonts w:ascii="Arial" w:eastAsia="Times New Roman" w:hAnsi="Arial" w:cs="Times New Roman"/>
      <w:color w:val="auto"/>
      <w:szCs w:val="20"/>
      <w:lang w:eastAsia="en-AU"/>
    </w:rPr>
  </w:style>
  <w:style w:type="character" w:customStyle="1" w:styleId="StyleCustomColorRGB1353652">
    <w:name w:val="Style Custom Color(RGB(1353652))"/>
    <w:basedOn w:val="DefaultParagraphFont"/>
    <w:semiHidden/>
    <w:rsid w:val="00A313BC"/>
    <w:rPr>
      <w:color w:val="872434"/>
    </w:rPr>
  </w:style>
  <w:style w:type="character" w:customStyle="1" w:styleId="StyleStyleCustomColorRGB1353652CustomColorRGB869092">
    <w:name w:val="Style Style Custom Color(RGB(1353652)) + Custom Color(RGB(869092))"/>
    <w:basedOn w:val="StyleCustomColorRGB1353652"/>
    <w:semiHidden/>
    <w:rsid w:val="00A313BC"/>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A313BC"/>
    <w:rPr>
      <w:color w:val="003F72"/>
    </w:rPr>
  </w:style>
  <w:style w:type="paragraph" w:customStyle="1" w:styleId="Hyperlink1">
    <w:name w:val="Hyperlink1"/>
    <w:basedOn w:val="HTMLAddress"/>
    <w:next w:val="Normal"/>
    <w:autoRedefine/>
    <w:semiHidden/>
    <w:rsid w:val="00A313BC"/>
    <w:rPr>
      <w:i w:val="0"/>
      <w:color w:val="003F72"/>
      <w:u w:val="single"/>
    </w:rPr>
  </w:style>
  <w:style w:type="paragraph" w:styleId="HTMLAddress">
    <w:name w:val="HTML Address"/>
    <w:basedOn w:val="Normal"/>
    <w:link w:val="HTMLAddressChar"/>
    <w:semiHidden/>
    <w:rsid w:val="00A313BC"/>
    <w:pPr>
      <w:suppressAutoHyphens w:val="0"/>
      <w:spacing w:before="40" w:after="160" w:line="260" w:lineRule="exact"/>
    </w:pPr>
    <w:rPr>
      <w:rFonts w:ascii="Arial" w:eastAsia="Times New Roman" w:hAnsi="Arial" w:cs="Times New Roman"/>
      <w:i/>
      <w:iCs/>
      <w:color w:val="auto"/>
      <w:szCs w:val="20"/>
      <w:lang w:eastAsia="en-AU"/>
    </w:rPr>
  </w:style>
  <w:style w:type="character" w:customStyle="1" w:styleId="HTMLAddressChar">
    <w:name w:val="HTML Address Char"/>
    <w:basedOn w:val="DefaultParagraphFont"/>
    <w:link w:val="HTMLAddress"/>
    <w:semiHidden/>
    <w:rsid w:val="00A313BC"/>
    <w:rPr>
      <w:rFonts w:ascii="Arial" w:eastAsia="Times New Roman" w:hAnsi="Arial" w:cs="Times New Roman"/>
      <w:i/>
      <w:iCs/>
      <w:color w:val="auto"/>
      <w:szCs w:val="20"/>
      <w:lang w:eastAsia="en-AU"/>
    </w:rPr>
  </w:style>
  <w:style w:type="paragraph" w:customStyle="1" w:styleId="Chartgraphtitle">
    <w:name w:val="Chart/graph title"/>
    <w:basedOn w:val="Normal"/>
    <w:next w:val="Normal"/>
    <w:semiHidden/>
    <w:rsid w:val="00A313BC"/>
    <w:pPr>
      <w:suppressAutoHyphens w:val="0"/>
      <w:spacing w:before="40" w:after="160" w:line="260" w:lineRule="exact"/>
    </w:pPr>
    <w:rPr>
      <w:rFonts w:ascii="Arial" w:eastAsia="Times New Roman" w:hAnsi="Arial" w:cs="Times New Roman"/>
      <w:b/>
      <w:color w:val="auto"/>
      <w:szCs w:val="20"/>
      <w:lang w:eastAsia="en-AU"/>
    </w:rPr>
  </w:style>
  <w:style w:type="paragraph" w:customStyle="1" w:styleId="PublicationText">
    <w:name w:val="Publication Text"/>
    <w:basedOn w:val="Normal"/>
    <w:semiHidden/>
    <w:rsid w:val="00A313BC"/>
    <w:pPr>
      <w:suppressAutoHyphens w:val="0"/>
      <w:spacing w:before="40" w:after="160" w:line="220" w:lineRule="atLeast"/>
    </w:pPr>
    <w:rPr>
      <w:rFonts w:ascii="Arial" w:eastAsia="Times New Roman" w:hAnsi="Arial" w:cs="Times New Roman"/>
      <w:color w:val="auto"/>
      <w:sz w:val="18"/>
      <w:szCs w:val="20"/>
      <w:lang w:eastAsia="en-AU"/>
    </w:rPr>
  </w:style>
  <w:style w:type="paragraph" w:customStyle="1" w:styleId="DocTitle">
    <w:name w:val="Doc Title"/>
    <w:basedOn w:val="Normal"/>
    <w:rsid w:val="00A313BC"/>
    <w:pPr>
      <w:suppressAutoHyphens w:val="0"/>
      <w:spacing w:before="1680" w:after="160" w:line="440" w:lineRule="atLeast"/>
    </w:pPr>
    <w:rPr>
      <w:rFonts w:ascii="Arial" w:eastAsia="Times New Roman" w:hAnsi="Arial" w:cs="Times New Roman"/>
      <w:b/>
      <w:color w:val="auto"/>
      <w:sz w:val="36"/>
      <w:szCs w:val="20"/>
      <w:lang w:eastAsia="en-AU"/>
    </w:rPr>
  </w:style>
  <w:style w:type="paragraph" w:customStyle="1" w:styleId="Bulletlist2">
    <w:name w:val="Bullet list 2"/>
    <w:basedOn w:val="ListBullet2"/>
    <w:next w:val="Normal"/>
    <w:link w:val="Bulletlist2Char"/>
    <w:rsid w:val="00A313BC"/>
    <w:pPr>
      <w:tabs>
        <w:tab w:val="left" w:pos="567"/>
      </w:tabs>
      <w:ind w:left="568" w:right="0" w:hanging="284"/>
      <w:outlineLvl w:val="1"/>
    </w:pPr>
  </w:style>
  <w:style w:type="paragraph" w:customStyle="1" w:styleId="Contents">
    <w:name w:val="Contents"/>
    <w:basedOn w:val="TOC1"/>
    <w:next w:val="Normal"/>
    <w:semiHidden/>
    <w:rsid w:val="00A313BC"/>
    <w:pPr>
      <w:tabs>
        <w:tab w:val="left" w:pos="8789"/>
      </w:tabs>
      <w:suppressAutoHyphens w:val="0"/>
      <w:spacing w:before="40" w:after="160" w:line="260" w:lineRule="exact"/>
    </w:pPr>
    <w:rPr>
      <w:rFonts w:ascii="Arial" w:eastAsia="Times New Roman" w:hAnsi="Arial" w:cs="Times New Roman"/>
      <w:b w:val="0"/>
      <w:snapToGrid w:val="0"/>
      <w:color w:val="auto"/>
      <w:sz w:val="28"/>
      <w:szCs w:val="20"/>
      <w:lang w:eastAsia="en-AU"/>
    </w:rPr>
  </w:style>
  <w:style w:type="paragraph" w:customStyle="1" w:styleId="ListofTables">
    <w:name w:val="List of Tables"/>
    <w:basedOn w:val="TableofFigures"/>
    <w:next w:val="Normal"/>
    <w:semiHidden/>
    <w:rsid w:val="00A313BC"/>
    <w:rPr>
      <w:b/>
      <w:sz w:val="28"/>
    </w:rPr>
  </w:style>
  <w:style w:type="paragraph" w:styleId="TableofFigures">
    <w:name w:val="table of figures"/>
    <w:basedOn w:val="Normal"/>
    <w:next w:val="Normal"/>
    <w:semiHidden/>
    <w:rsid w:val="00A313BC"/>
    <w:pPr>
      <w:suppressAutoHyphens w:val="0"/>
      <w:spacing w:before="40" w:after="160" w:line="260" w:lineRule="exact"/>
    </w:pPr>
    <w:rPr>
      <w:rFonts w:ascii="Arial" w:eastAsia="Times New Roman" w:hAnsi="Arial" w:cs="Times New Roman"/>
      <w:color w:val="auto"/>
      <w:szCs w:val="20"/>
      <w:lang w:eastAsia="en-AU"/>
    </w:rPr>
  </w:style>
  <w:style w:type="paragraph" w:customStyle="1" w:styleId="ListofFigures">
    <w:name w:val="List of Figures"/>
    <w:basedOn w:val="TableofFigures"/>
    <w:next w:val="Normal"/>
    <w:semiHidden/>
    <w:rsid w:val="00A313BC"/>
    <w:rPr>
      <w:b/>
      <w:sz w:val="28"/>
    </w:rPr>
  </w:style>
  <w:style w:type="paragraph" w:customStyle="1" w:styleId="TableFigureCaptions">
    <w:name w:val="Table/Figure Captions"/>
    <w:basedOn w:val="Normal"/>
    <w:next w:val="Normal"/>
    <w:semiHidden/>
    <w:rsid w:val="00A313BC"/>
    <w:pPr>
      <w:suppressAutoHyphens w:val="0"/>
      <w:spacing w:before="40" w:after="160" w:line="200" w:lineRule="atLeast"/>
    </w:pPr>
    <w:rPr>
      <w:rFonts w:ascii="Arial" w:eastAsia="Times New Roman" w:hAnsi="Arial" w:cs="Times New Roman"/>
      <w:color w:val="auto"/>
      <w:sz w:val="16"/>
      <w:szCs w:val="20"/>
      <w:lang w:eastAsia="en-AU"/>
    </w:rPr>
  </w:style>
  <w:style w:type="paragraph" w:styleId="List">
    <w:name w:val="List"/>
    <w:basedOn w:val="Normal"/>
    <w:semiHidden/>
    <w:rsid w:val="00A313BC"/>
    <w:pPr>
      <w:suppressAutoHyphens w:val="0"/>
      <w:spacing w:before="40" w:after="160" w:line="260" w:lineRule="exact"/>
      <w:ind w:left="283" w:hanging="283"/>
    </w:pPr>
    <w:rPr>
      <w:rFonts w:ascii="Arial" w:eastAsia="Times New Roman" w:hAnsi="Arial" w:cs="Times New Roman"/>
      <w:color w:val="auto"/>
      <w:szCs w:val="20"/>
      <w:lang w:eastAsia="en-AU"/>
    </w:rPr>
  </w:style>
  <w:style w:type="paragraph" w:customStyle="1" w:styleId="Headline">
    <w:name w:val="Headline"/>
    <w:basedOn w:val="Normal"/>
    <w:next w:val="Normal"/>
    <w:semiHidden/>
    <w:rsid w:val="00A313BC"/>
    <w:pPr>
      <w:suppressAutoHyphens w:val="0"/>
      <w:spacing w:before="40" w:after="800" w:line="260" w:lineRule="exact"/>
    </w:pPr>
    <w:rPr>
      <w:rFonts w:ascii="Arial" w:eastAsia="Times New Roman" w:hAnsi="Arial" w:cs="Times New Roman"/>
      <w:b/>
      <w:color w:val="872434"/>
      <w:sz w:val="30"/>
      <w:szCs w:val="20"/>
      <w:lang w:eastAsia="en-AU"/>
    </w:rPr>
  </w:style>
  <w:style w:type="paragraph" w:customStyle="1" w:styleId="maintitle">
    <w:name w:val="main title"/>
    <w:next w:val="Normal"/>
    <w:semiHidden/>
    <w:rsid w:val="00A313BC"/>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A313BC"/>
    <w:pPr>
      <w:keepNext/>
      <w:suppressAutoHyphens w:val="0"/>
      <w:spacing w:before="240" w:after="60" w:line="260" w:lineRule="exact"/>
    </w:pPr>
    <w:rPr>
      <w:rFonts w:ascii="Arial" w:eastAsia="Times New Roman" w:hAnsi="Arial" w:cs="Times New Roman"/>
      <w:b/>
      <w:color w:val="auto"/>
      <w:sz w:val="24"/>
      <w:szCs w:val="20"/>
      <w:lang w:eastAsia="en-AU"/>
    </w:rPr>
  </w:style>
  <w:style w:type="paragraph" w:customStyle="1" w:styleId="Numberedlist">
    <w:name w:val="Numbered list"/>
    <w:basedOn w:val="Normal"/>
    <w:rsid w:val="00A313BC"/>
    <w:pPr>
      <w:numPr>
        <w:numId w:val="22"/>
      </w:numPr>
      <w:tabs>
        <w:tab w:val="clear" w:pos="567"/>
        <w:tab w:val="num" w:pos="284"/>
      </w:tabs>
      <w:suppressAutoHyphens w:val="0"/>
      <w:spacing w:before="120" w:after="120" w:line="260" w:lineRule="exact"/>
      <w:ind w:left="284" w:hanging="284"/>
      <w:outlineLvl w:val="0"/>
    </w:pPr>
    <w:rPr>
      <w:rFonts w:ascii="Arial" w:eastAsia="Times New Roman" w:hAnsi="Arial" w:cs="Times New Roman"/>
      <w:color w:val="auto"/>
      <w:szCs w:val="20"/>
      <w:lang w:val="en-GB" w:eastAsia="en-AU"/>
    </w:rPr>
  </w:style>
  <w:style w:type="paragraph" w:customStyle="1" w:styleId="Bulletlist3">
    <w:name w:val="Bullet list 3"/>
    <w:basedOn w:val="Normal"/>
    <w:next w:val="Normal"/>
    <w:rsid w:val="00A313BC"/>
    <w:pPr>
      <w:tabs>
        <w:tab w:val="left" w:pos="851"/>
      </w:tabs>
      <w:suppressAutoHyphens w:val="0"/>
      <w:spacing w:before="120" w:after="120" w:line="260" w:lineRule="exact"/>
      <w:ind w:left="851" w:hanging="284"/>
      <w:outlineLvl w:val="2"/>
    </w:pPr>
    <w:rPr>
      <w:rFonts w:ascii="Arial" w:eastAsia="Times New Roman" w:hAnsi="Arial" w:cs="Times New Roman"/>
      <w:color w:val="auto"/>
      <w:szCs w:val="20"/>
    </w:rPr>
  </w:style>
  <w:style w:type="paragraph" w:customStyle="1" w:styleId="Headline3">
    <w:name w:val="Headline 3"/>
    <w:basedOn w:val="Normal"/>
    <w:next w:val="Normal"/>
    <w:semiHidden/>
    <w:rsid w:val="00A313BC"/>
    <w:pPr>
      <w:keepNext/>
      <w:suppressAutoHyphens w:val="0"/>
      <w:spacing w:before="40" w:after="120" w:line="260" w:lineRule="exact"/>
    </w:pPr>
    <w:rPr>
      <w:rFonts w:ascii="Arial" w:eastAsia="Times New Roman" w:hAnsi="Arial" w:cs="Times New Roman"/>
      <w:b/>
      <w:color w:val="auto"/>
      <w:szCs w:val="20"/>
      <w:lang w:eastAsia="en-AU"/>
    </w:rPr>
  </w:style>
  <w:style w:type="numbering" w:customStyle="1" w:styleId="StyleBulleted">
    <w:name w:val="Style Bulleted"/>
    <w:basedOn w:val="NoList"/>
    <w:semiHidden/>
    <w:rsid w:val="00A313BC"/>
    <w:pPr>
      <w:numPr>
        <w:numId w:val="20"/>
      </w:numPr>
    </w:pPr>
  </w:style>
  <w:style w:type="paragraph" w:customStyle="1" w:styleId="ListBullet1">
    <w:name w:val="ListBullet1"/>
    <w:basedOn w:val="Normal"/>
    <w:semiHidden/>
    <w:rsid w:val="00A313BC"/>
    <w:pPr>
      <w:numPr>
        <w:numId w:val="21"/>
      </w:numPr>
      <w:tabs>
        <w:tab w:val="clear" w:pos="567"/>
        <w:tab w:val="left" w:pos="284"/>
        <w:tab w:val="num" w:pos="360"/>
      </w:tabs>
      <w:suppressAutoHyphens w:val="0"/>
      <w:spacing w:before="40" w:after="160" w:line="260" w:lineRule="exact"/>
      <w:ind w:left="0" w:firstLine="0"/>
      <w:outlineLvl w:val="0"/>
    </w:pPr>
    <w:rPr>
      <w:rFonts w:ascii="Arial" w:eastAsia="Times New Roman" w:hAnsi="Arial" w:cs="Times New Roman"/>
      <w:color w:val="auto"/>
      <w:szCs w:val="20"/>
      <w:lang w:val="en-GB" w:eastAsia="en-AU"/>
    </w:rPr>
  </w:style>
  <w:style w:type="paragraph" w:customStyle="1" w:styleId="ISBN-HTML-Pub">
    <w:name w:val="ISBN-HTML-Pub"/>
    <w:basedOn w:val="Normal"/>
    <w:semiHidden/>
    <w:rsid w:val="00A313BC"/>
    <w:pPr>
      <w:suppressAutoHyphens w:val="0"/>
      <w:spacing w:before="2400" w:after="160" w:line="280" w:lineRule="atLeast"/>
    </w:pPr>
    <w:rPr>
      <w:rFonts w:ascii="Arial" w:eastAsia="Times New Roman" w:hAnsi="Arial" w:cs="Times New Roman"/>
      <w:color w:val="auto"/>
      <w:szCs w:val="20"/>
      <w:lang w:eastAsia="en-AU"/>
    </w:rPr>
  </w:style>
  <w:style w:type="paragraph" w:customStyle="1" w:styleId="Bulletedlist">
    <w:name w:val="Bulleted list"/>
    <w:basedOn w:val="Normal"/>
    <w:semiHidden/>
    <w:rsid w:val="00A313BC"/>
    <w:pPr>
      <w:numPr>
        <w:numId w:val="23"/>
      </w:numPr>
      <w:suppressAutoHyphens w:val="0"/>
      <w:spacing w:line="260" w:lineRule="atLeast"/>
      <w:ind w:left="0" w:firstLine="0"/>
    </w:pPr>
    <w:rPr>
      <w:rFonts w:ascii="Arial" w:eastAsia="Times New Roman" w:hAnsi="Arial" w:cs="Times New Roman"/>
      <w:color w:val="auto"/>
      <w:szCs w:val="20"/>
      <w:lang w:eastAsia="en-AU"/>
    </w:rPr>
  </w:style>
  <w:style w:type="paragraph" w:customStyle="1" w:styleId="Style3">
    <w:name w:val="Style3"/>
    <w:basedOn w:val="Normal"/>
    <w:next w:val="Normal"/>
    <w:semiHidden/>
    <w:rsid w:val="00A313BC"/>
    <w:pPr>
      <w:suppressAutoHyphens w:val="0"/>
      <w:spacing w:before="40" w:after="160" w:line="260" w:lineRule="exact"/>
    </w:pPr>
    <w:rPr>
      <w:rFonts w:ascii="Arial" w:eastAsia="Times New Roman" w:hAnsi="Arial" w:cs="Times New Roman"/>
      <w:color w:val="auto"/>
      <w:szCs w:val="20"/>
      <w:lang w:eastAsia="en-AU"/>
    </w:rPr>
  </w:style>
  <w:style w:type="paragraph" w:customStyle="1" w:styleId="FWAHeading1">
    <w:name w:val="FWA Heading 1"/>
    <w:basedOn w:val="Heading1"/>
    <w:next w:val="Normal"/>
    <w:semiHidden/>
    <w:rsid w:val="00A313BC"/>
    <w:pPr>
      <w:keepNext w:val="0"/>
      <w:keepLines w:val="0"/>
      <w:tabs>
        <w:tab w:val="left" w:pos="567"/>
        <w:tab w:val="left" w:pos="1134"/>
      </w:tabs>
      <w:suppressAutoHyphens w:val="0"/>
      <w:autoSpaceDE w:val="0"/>
      <w:autoSpaceDN w:val="0"/>
      <w:adjustRightInd w:val="0"/>
      <w:spacing w:before="200" w:after="80" w:line="240" w:lineRule="auto"/>
    </w:pPr>
    <w:rPr>
      <w:rFonts w:ascii="Arial" w:eastAsia="Times New Roman" w:hAnsi="Arial" w:cs="Arial"/>
      <w:bCs/>
      <w:color w:val="auto"/>
      <w:sz w:val="24"/>
      <w:szCs w:val="22"/>
      <w:lang w:eastAsia="en-AU"/>
    </w:rPr>
  </w:style>
  <w:style w:type="paragraph" w:customStyle="1" w:styleId="FWAHeading2">
    <w:name w:val="FWA Heading 2"/>
    <w:basedOn w:val="Heading2"/>
    <w:next w:val="Normal"/>
    <w:semiHidden/>
    <w:rsid w:val="00A313BC"/>
    <w:pPr>
      <w:keepLines w:val="0"/>
      <w:tabs>
        <w:tab w:val="left" w:pos="567"/>
        <w:tab w:val="left" w:pos="1134"/>
      </w:tabs>
      <w:suppressAutoHyphens w:val="0"/>
      <w:autoSpaceDE w:val="0"/>
      <w:autoSpaceDN w:val="0"/>
      <w:adjustRightInd w:val="0"/>
      <w:spacing w:before="200" w:line="240" w:lineRule="auto"/>
    </w:pPr>
    <w:rPr>
      <w:rFonts w:ascii="Arial" w:eastAsia="Times New Roman" w:hAnsi="Arial" w:cs="Arial"/>
      <w:bCs/>
      <w:color w:val="auto"/>
      <w:sz w:val="22"/>
      <w:szCs w:val="22"/>
      <w:lang w:eastAsia="en-AU"/>
    </w:rPr>
  </w:style>
  <w:style w:type="paragraph" w:customStyle="1" w:styleId="FWAHeading3">
    <w:name w:val="FWA Heading 3"/>
    <w:basedOn w:val="Heading3"/>
    <w:next w:val="Normal"/>
    <w:semiHidden/>
    <w:rsid w:val="00A313BC"/>
    <w:pPr>
      <w:keepLines w:val="0"/>
      <w:numPr>
        <w:numId w:val="0"/>
      </w:numPr>
      <w:tabs>
        <w:tab w:val="right" w:pos="567"/>
        <w:tab w:val="left" w:pos="851"/>
        <w:tab w:val="left" w:pos="8496"/>
        <w:tab w:val="right" w:pos="10512"/>
      </w:tabs>
      <w:suppressAutoHyphens w:val="0"/>
      <w:spacing w:before="200" w:after="80" w:line="240" w:lineRule="auto"/>
      <w:ind w:left="567" w:right="284"/>
    </w:pPr>
    <w:rPr>
      <w:rFonts w:ascii="Arial" w:eastAsia="Times New Roman" w:hAnsi="Arial" w:cs="Arial"/>
      <w:bCs/>
      <w:i/>
      <w:color w:val="auto"/>
      <w:sz w:val="22"/>
      <w:szCs w:val="22"/>
    </w:rPr>
  </w:style>
  <w:style w:type="paragraph" w:styleId="ListBullet">
    <w:name w:val="List Bullet"/>
    <w:basedOn w:val="ListBullet2"/>
    <w:next w:val="Normal"/>
    <w:semiHidden/>
    <w:rsid w:val="00A313BC"/>
    <w:pPr>
      <w:numPr>
        <w:numId w:val="24"/>
      </w:numPr>
      <w:ind w:right="425"/>
      <w:outlineLvl w:val="0"/>
    </w:pPr>
  </w:style>
  <w:style w:type="paragraph" w:styleId="ListBullet2">
    <w:name w:val="List Bullet 2"/>
    <w:basedOn w:val="Normal"/>
    <w:rsid w:val="00A313BC"/>
    <w:pPr>
      <w:suppressAutoHyphens w:val="0"/>
      <w:spacing w:before="120" w:after="120" w:line="260" w:lineRule="exact"/>
      <w:ind w:right="851"/>
    </w:pPr>
    <w:rPr>
      <w:rFonts w:ascii="Arial" w:eastAsia="Times New Roman" w:hAnsi="Arial" w:cs="Times New Roman"/>
      <w:color w:val="auto"/>
      <w:szCs w:val="20"/>
      <w:lang w:eastAsia="en-AU"/>
    </w:rPr>
  </w:style>
  <w:style w:type="paragraph" w:customStyle="1" w:styleId="Style">
    <w:name w:val="Style"/>
    <w:basedOn w:val="Header"/>
    <w:semiHidden/>
    <w:rsid w:val="00A313BC"/>
    <w:pPr>
      <w:tabs>
        <w:tab w:val="clear" w:pos="4513"/>
        <w:tab w:val="clear" w:pos="9026"/>
        <w:tab w:val="center" w:pos="4320"/>
        <w:tab w:val="right" w:pos="8640"/>
      </w:tabs>
      <w:suppressAutoHyphens w:val="0"/>
      <w:spacing w:before="280" w:after="160" w:line="240" w:lineRule="auto"/>
      <w:outlineLvl w:val="0"/>
    </w:pPr>
    <w:rPr>
      <w:rFonts w:ascii="Arial" w:eastAsia="Times New Roman" w:hAnsi="Arial" w:cs="Times New Roman"/>
      <w:color w:val="auto"/>
      <w:szCs w:val="20"/>
      <w:lang w:eastAsia="en-AU"/>
    </w:rPr>
  </w:style>
  <w:style w:type="paragraph" w:customStyle="1" w:styleId="StyleHeaderCustomColorRGB1321244">
    <w:name w:val="Style Header + Custom Color(RGB(1321244))"/>
    <w:basedOn w:val="Header"/>
    <w:semiHidden/>
    <w:rsid w:val="00A313BC"/>
    <w:pPr>
      <w:tabs>
        <w:tab w:val="clear" w:pos="4513"/>
        <w:tab w:val="clear" w:pos="9026"/>
        <w:tab w:val="center" w:pos="4320"/>
        <w:tab w:val="right" w:pos="8640"/>
      </w:tabs>
      <w:suppressAutoHyphens w:val="0"/>
      <w:spacing w:before="280" w:after="160" w:line="240" w:lineRule="auto"/>
    </w:pPr>
    <w:rPr>
      <w:rFonts w:ascii="Arial" w:eastAsia="Times New Roman" w:hAnsi="Arial" w:cs="Times New Roman"/>
      <w:color w:val="822433"/>
      <w:sz w:val="42"/>
      <w:szCs w:val="20"/>
      <w:lang w:eastAsia="en-AU"/>
    </w:rPr>
  </w:style>
  <w:style w:type="paragraph" w:customStyle="1" w:styleId="StyleHeading1CustomColorRGB1303651">
    <w:name w:val="Style Heading 1 + Custom Color(RGB(1303651))"/>
    <w:basedOn w:val="Heading1"/>
    <w:semiHidden/>
    <w:rsid w:val="00A313BC"/>
    <w:pPr>
      <w:keepNext w:val="0"/>
      <w:keepLines w:val="0"/>
      <w:tabs>
        <w:tab w:val="left" w:pos="567"/>
        <w:tab w:val="left" w:pos="1134"/>
      </w:tabs>
      <w:suppressAutoHyphens w:val="0"/>
      <w:autoSpaceDE w:val="0"/>
      <w:autoSpaceDN w:val="0"/>
      <w:adjustRightInd w:val="0"/>
      <w:spacing w:before="280" w:after="80" w:line="320" w:lineRule="exact"/>
      <w:jc w:val="right"/>
    </w:pPr>
    <w:rPr>
      <w:rFonts w:ascii="Arial" w:eastAsia="Times New Roman" w:hAnsi="Arial" w:cs="Arial"/>
      <w:bCs/>
      <w:color w:val="822433"/>
      <w:sz w:val="24"/>
      <w:szCs w:val="22"/>
      <w:lang w:eastAsia="en-AU"/>
    </w:rPr>
  </w:style>
  <w:style w:type="paragraph" w:customStyle="1" w:styleId="Bulletlist">
    <w:name w:val="Bullet list"/>
    <w:basedOn w:val="ListBullet"/>
    <w:next w:val="Normal"/>
    <w:rsid w:val="00A313BC"/>
    <w:pPr>
      <w:numPr>
        <w:numId w:val="25"/>
      </w:numPr>
      <w:tabs>
        <w:tab w:val="clear" w:pos="720"/>
        <w:tab w:val="left" w:pos="284"/>
      </w:tabs>
      <w:ind w:left="284" w:right="0" w:hanging="284"/>
    </w:pPr>
  </w:style>
  <w:style w:type="character" w:customStyle="1" w:styleId="Bulletlist2Char">
    <w:name w:val="Bullet list 2 Char"/>
    <w:basedOn w:val="DefaultParagraphFont"/>
    <w:link w:val="Bulletlist2"/>
    <w:rsid w:val="00A313BC"/>
    <w:rPr>
      <w:rFonts w:ascii="Arial" w:eastAsia="Times New Roman" w:hAnsi="Arial" w:cs="Times New Roman"/>
      <w:color w:val="auto"/>
      <w:szCs w:val="20"/>
      <w:lang w:eastAsia="en-AU"/>
    </w:rPr>
  </w:style>
  <w:style w:type="paragraph" w:customStyle="1" w:styleId="Numberedlist2">
    <w:name w:val="Numbered list 2"/>
    <w:basedOn w:val="Normal"/>
    <w:qFormat/>
    <w:rsid w:val="00A313BC"/>
    <w:pPr>
      <w:tabs>
        <w:tab w:val="num" w:pos="643"/>
      </w:tabs>
      <w:suppressAutoHyphens w:val="0"/>
      <w:spacing w:before="40" w:after="160" w:line="260" w:lineRule="exact"/>
      <w:ind w:left="643" w:hanging="360"/>
    </w:pPr>
    <w:rPr>
      <w:rFonts w:ascii="Arial" w:eastAsia="Times New Roman" w:hAnsi="Arial" w:cs="Times New Roman"/>
      <w:color w:val="auto"/>
      <w:szCs w:val="20"/>
      <w:lang w:eastAsia="en-AU"/>
    </w:rPr>
  </w:style>
  <w:style w:type="paragraph" w:customStyle="1" w:styleId="SequenceInfo">
    <w:name w:val="Sequence Info"/>
    <w:basedOn w:val="Normal"/>
    <w:rsid w:val="00A313BC"/>
    <w:pPr>
      <w:suppressAutoHyphens w:val="0"/>
      <w:spacing w:before="0" w:after="0" w:line="240" w:lineRule="auto"/>
    </w:pPr>
    <w:rPr>
      <w:rFonts w:ascii="Times New Roman" w:eastAsia="Times New Roman" w:hAnsi="Times New Roman" w:cs="Times New Roman"/>
      <w:vanish/>
      <w:color w:val="auto"/>
      <w:sz w:val="20"/>
      <w:szCs w:val="20"/>
    </w:rPr>
  </w:style>
  <w:style w:type="paragraph" w:styleId="BodyText2">
    <w:name w:val="Body Text 2"/>
    <w:basedOn w:val="Normal"/>
    <w:link w:val="BodyText2Char"/>
    <w:rsid w:val="00A313BC"/>
    <w:pPr>
      <w:tabs>
        <w:tab w:val="left" w:pos="567"/>
        <w:tab w:val="left" w:pos="1133"/>
        <w:tab w:val="left" w:pos="2016"/>
        <w:tab w:val="left" w:pos="8496"/>
        <w:tab w:val="right" w:pos="10512"/>
      </w:tabs>
      <w:suppressAutoHyphens w:val="0"/>
      <w:spacing w:before="0" w:after="0" w:line="240" w:lineRule="auto"/>
      <w:ind w:right="282"/>
    </w:pPr>
    <w:rPr>
      <w:rFonts w:ascii="Arial" w:eastAsia="Times New Roman" w:hAnsi="Arial" w:cs="Arial"/>
      <w:color w:val="auto"/>
      <w:sz w:val="16"/>
      <w:szCs w:val="20"/>
    </w:rPr>
  </w:style>
  <w:style w:type="character" w:customStyle="1" w:styleId="BodyText2Char">
    <w:name w:val="Body Text 2 Char"/>
    <w:basedOn w:val="DefaultParagraphFont"/>
    <w:link w:val="BodyText2"/>
    <w:rsid w:val="00A313BC"/>
    <w:rPr>
      <w:rFonts w:ascii="Arial" w:eastAsia="Times New Roman" w:hAnsi="Arial" w:cs="Arial"/>
      <w:color w:val="auto"/>
      <w:sz w:val="16"/>
      <w:szCs w:val="20"/>
    </w:rPr>
  </w:style>
  <w:style w:type="paragraph" w:styleId="BodyTextIndent2">
    <w:name w:val="Body Text Indent 2"/>
    <w:basedOn w:val="Normal"/>
    <w:link w:val="BodyTextIndent2Char"/>
    <w:rsid w:val="00A313BC"/>
    <w:pPr>
      <w:suppressAutoHyphens w:val="0"/>
      <w:spacing w:before="0" w:after="0" w:line="240" w:lineRule="auto"/>
      <w:ind w:left="720"/>
    </w:pPr>
    <w:rPr>
      <w:rFonts w:ascii="Arial" w:eastAsia="Times New Roman" w:hAnsi="Arial" w:cs="Times New Roman"/>
      <w:color w:val="auto"/>
      <w:sz w:val="20"/>
      <w:szCs w:val="20"/>
      <w:lang w:val="en-US"/>
    </w:rPr>
  </w:style>
  <w:style w:type="character" w:customStyle="1" w:styleId="BodyTextIndent2Char">
    <w:name w:val="Body Text Indent 2 Char"/>
    <w:basedOn w:val="DefaultParagraphFont"/>
    <w:link w:val="BodyTextIndent2"/>
    <w:rsid w:val="00A313BC"/>
    <w:rPr>
      <w:rFonts w:ascii="Arial" w:eastAsia="Times New Roman" w:hAnsi="Arial" w:cs="Times New Roman"/>
      <w:color w:val="auto"/>
      <w:sz w:val="20"/>
      <w:szCs w:val="20"/>
      <w:lang w:val="en-US"/>
    </w:rPr>
  </w:style>
  <w:style w:type="paragraph" w:styleId="BodyText3">
    <w:name w:val="Body Text 3"/>
    <w:basedOn w:val="Normal"/>
    <w:link w:val="BodyText3Char"/>
    <w:rsid w:val="00A313BC"/>
    <w:pPr>
      <w:tabs>
        <w:tab w:val="right" w:pos="567"/>
        <w:tab w:val="left" w:pos="851"/>
        <w:tab w:val="right" w:pos="8080"/>
        <w:tab w:val="right" w:pos="9214"/>
        <w:tab w:val="right" w:pos="10512"/>
      </w:tabs>
      <w:suppressAutoHyphens w:val="0"/>
      <w:spacing w:before="0" w:after="0" w:line="240" w:lineRule="auto"/>
      <w:ind w:right="282"/>
    </w:pPr>
    <w:rPr>
      <w:rFonts w:ascii="Arial" w:eastAsia="Times New Roman" w:hAnsi="Arial" w:cs="Times New Roman"/>
      <w:color w:val="993366"/>
      <w:sz w:val="20"/>
      <w:szCs w:val="20"/>
    </w:rPr>
  </w:style>
  <w:style w:type="character" w:customStyle="1" w:styleId="BodyText3Char">
    <w:name w:val="Body Text 3 Char"/>
    <w:basedOn w:val="DefaultParagraphFont"/>
    <w:link w:val="BodyText3"/>
    <w:rsid w:val="00A313BC"/>
    <w:rPr>
      <w:rFonts w:ascii="Arial" w:eastAsia="Times New Roman" w:hAnsi="Arial" w:cs="Times New Roman"/>
      <w:color w:val="993366"/>
      <w:sz w:val="20"/>
      <w:szCs w:val="20"/>
    </w:rPr>
  </w:style>
  <w:style w:type="paragraph" w:customStyle="1" w:styleId="NotesHeading4">
    <w:name w:val="Notes Heading 4"/>
    <w:basedOn w:val="NoteText"/>
    <w:autoRedefine/>
    <w:rsid w:val="00A313BC"/>
  </w:style>
  <w:style w:type="paragraph" w:customStyle="1" w:styleId="CommentaryDotPoint2">
    <w:name w:val="Commentary Dot Point 2"/>
    <w:basedOn w:val="Normal"/>
    <w:autoRedefine/>
    <w:rsid w:val="00A313BC"/>
    <w:pPr>
      <w:numPr>
        <w:numId w:val="27"/>
      </w:numPr>
      <w:tabs>
        <w:tab w:val="clear" w:pos="794"/>
        <w:tab w:val="num" w:pos="728"/>
        <w:tab w:val="left" w:pos="2160"/>
      </w:tabs>
      <w:suppressAutoHyphens w:val="0"/>
      <w:spacing w:before="0" w:after="0" w:line="240" w:lineRule="auto"/>
      <w:ind w:right="113" w:hanging="246"/>
      <w:jc w:val="both"/>
    </w:pPr>
    <w:rPr>
      <w:rFonts w:ascii="Times New Roman" w:eastAsia="Times New Roman" w:hAnsi="Times New Roman" w:cs="Times New Roman"/>
      <w:color w:val="auto"/>
      <w:sz w:val="20"/>
      <w:szCs w:val="20"/>
      <w:lang w:val="en-US"/>
    </w:rPr>
  </w:style>
  <w:style w:type="paragraph" w:customStyle="1" w:styleId="CommentaryText">
    <w:name w:val="Commentary Text"/>
    <w:basedOn w:val="Normal"/>
    <w:autoRedefine/>
    <w:rsid w:val="00A313BC"/>
    <w:pPr>
      <w:tabs>
        <w:tab w:val="left" w:pos="4037"/>
      </w:tabs>
      <w:suppressAutoHyphens w:val="0"/>
      <w:spacing w:before="0" w:after="120" w:line="240" w:lineRule="auto"/>
      <w:ind w:left="140" w:right="113"/>
      <w:jc w:val="both"/>
    </w:pPr>
    <w:rPr>
      <w:rFonts w:ascii="Times New Roman" w:eastAsia="Times New Roman" w:hAnsi="Times New Roman" w:cs="Times New Roman"/>
      <w:color w:val="auto"/>
      <w:sz w:val="20"/>
      <w:szCs w:val="20"/>
      <w:lang w:val="en-US"/>
    </w:rPr>
  </w:style>
  <w:style w:type="paragraph" w:customStyle="1" w:styleId="ReferenceCommentaryTextGREEN">
    <w:name w:val="Reference Commentary Text GREEN"/>
    <w:basedOn w:val="Normal"/>
    <w:autoRedefine/>
    <w:rsid w:val="00A313BC"/>
    <w:pPr>
      <w:suppressAutoHyphens w:val="0"/>
      <w:spacing w:before="0"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A313BC"/>
    <w:pPr>
      <w:framePr w:hSpace="181" w:vSpace="181" w:wrap="auto" w:vAnchor="text" w:hAnchor="text" w:y="1"/>
      <w:numPr>
        <w:numId w:val="28"/>
      </w:numPr>
      <w:suppressAutoHyphens w:val="0"/>
      <w:spacing w:before="0" w:after="0" w:line="240" w:lineRule="auto"/>
      <w:ind w:right="113"/>
    </w:pPr>
    <w:rPr>
      <w:rFonts w:ascii="Times New Roman" w:eastAsia="Times New Roman" w:hAnsi="Times New Roman" w:cs="Times New Roman"/>
      <w:color w:val="auto"/>
      <w:sz w:val="20"/>
      <w:szCs w:val="20"/>
      <w:lang w:val="en-US"/>
    </w:rPr>
  </w:style>
  <w:style w:type="paragraph" w:customStyle="1" w:styleId="NotesHeading1">
    <w:name w:val="Notes Heading 1"/>
    <w:basedOn w:val="NotesHeader"/>
    <w:autoRedefine/>
    <w:rsid w:val="00A313BC"/>
    <w:pPr>
      <w:numPr>
        <w:numId w:val="26"/>
      </w:numPr>
      <w:tabs>
        <w:tab w:val="clear" w:pos="1162"/>
      </w:tabs>
      <w:ind w:left="113" w:firstLine="0"/>
    </w:pPr>
  </w:style>
  <w:style w:type="paragraph" w:customStyle="1" w:styleId="NotesHeader">
    <w:name w:val="Notes Header"/>
    <w:basedOn w:val="Normal"/>
    <w:autoRedefine/>
    <w:rsid w:val="00A313BC"/>
    <w:pPr>
      <w:suppressAutoHyphens w:val="0"/>
      <w:spacing w:before="0" w:after="0" w:line="240" w:lineRule="auto"/>
      <w:ind w:left="113" w:right="113"/>
    </w:pPr>
    <w:rPr>
      <w:rFonts w:ascii="Times New Roman" w:eastAsia="Times New Roman" w:hAnsi="Times New Roman" w:cs="Times New Roman"/>
      <w:b/>
      <w:bCs/>
      <w:color w:val="auto"/>
    </w:rPr>
  </w:style>
  <w:style w:type="paragraph" w:customStyle="1" w:styleId="NotesHeading3">
    <w:name w:val="Notes Heading 3"/>
    <w:basedOn w:val="Normal"/>
    <w:autoRedefine/>
    <w:rsid w:val="00A313BC"/>
    <w:pPr>
      <w:numPr>
        <w:ilvl w:val="1"/>
        <w:numId w:val="26"/>
      </w:numPr>
      <w:suppressAutoHyphens w:val="0"/>
      <w:spacing w:before="80" w:after="40" w:line="240" w:lineRule="auto"/>
      <w:ind w:right="113"/>
    </w:pPr>
    <w:rPr>
      <w:rFonts w:ascii="Times New Roman" w:eastAsia="Times New Roman" w:hAnsi="Times New Roman" w:cs="Times New Roman"/>
      <w:color w:val="auto"/>
      <w:u w:val="single"/>
      <w:lang w:val="en-US"/>
    </w:rPr>
  </w:style>
  <w:style w:type="paragraph" w:customStyle="1" w:styleId="NotesHeading3a">
    <w:name w:val="Notes Heading 3a"/>
    <w:basedOn w:val="Normal"/>
    <w:autoRedefine/>
    <w:rsid w:val="00A313BC"/>
    <w:pPr>
      <w:numPr>
        <w:ilvl w:val="2"/>
        <w:numId w:val="26"/>
      </w:numPr>
      <w:suppressAutoHyphens w:val="0"/>
      <w:spacing w:before="0" w:after="120" w:line="240" w:lineRule="auto"/>
      <w:ind w:right="113"/>
      <w:jc w:val="both"/>
    </w:pPr>
    <w:rPr>
      <w:rFonts w:ascii="Times New Roman" w:eastAsia="Times New Roman" w:hAnsi="Times New Roman" w:cs="Times New Roman"/>
      <w:color w:val="auto"/>
      <w:u w:val="single"/>
      <w:lang w:val="en-US"/>
    </w:rPr>
  </w:style>
  <w:style w:type="paragraph" w:customStyle="1" w:styleId="FinancialStatementCurrentYearData">
    <w:name w:val="Financial Statement Current Year Data"/>
    <w:basedOn w:val="Normal"/>
    <w:autoRedefine/>
    <w:rsid w:val="00A313BC"/>
    <w:pPr>
      <w:suppressAutoHyphens w:val="0"/>
      <w:spacing w:before="0" w:after="0" w:line="240" w:lineRule="auto"/>
      <w:ind w:left="57" w:right="57"/>
      <w:jc w:val="right"/>
    </w:pPr>
    <w:rPr>
      <w:rFonts w:ascii="Times New Roman" w:eastAsia="Times New Roman" w:hAnsi="Times New Roman" w:cs="Times New Roman"/>
      <w:b/>
      <w:bCs/>
      <w:color w:val="auto"/>
      <w:sz w:val="20"/>
      <w:szCs w:val="20"/>
    </w:rPr>
  </w:style>
  <w:style w:type="paragraph" w:customStyle="1" w:styleId="FinancialStatementPriorYearData">
    <w:name w:val="Financial Statement Prior Year Data"/>
    <w:basedOn w:val="Normal"/>
    <w:autoRedefine/>
    <w:rsid w:val="00A313BC"/>
    <w:pPr>
      <w:suppressAutoHyphens w:val="0"/>
      <w:spacing w:before="0" w:after="0" w:line="240" w:lineRule="auto"/>
      <w:ind w:left="57" w:right="57"/>
      <w:jc w:val="center"/>
    </w:pPr>
    <w:rPr>
      <w:rFonts w:ascii="Times New Roman" w:eastAsia="Times New Roman" w:hAnsi="Times New Roman" w:cs="Times New Roman"/>
      <w:b/>
      <w:bCs/>
      <w:color w:val="auto"/>
      <w:sz w:val="20"/>
      <w:szCs w:val="20"/>
      <w:lang w:val="en-US"/>
    </w:rPr>
  </w:style>
  <w:style w:type="paragraph" w:customStyle="1" w:styleId="FinancialStatementSectionHeading">
    <w:name w:val="Financial Statement Section Heading"/>
    <w:basedOn w:val="Normal"/>
    <w:autoRedefine/>
    <w:rsid w:val="00A313BC"/>
    <w:pPr>
      <w:suppressAutoHyphens w:val="0"/>
      <w:spacing w:before="0" w:after="0" w:line="240" w:lineRule="auto"/>
      <w:ind w:left="57" w:right="57"/>
    </w:pPr>
    <w:rPr>
      <w:rFonts w:ascii="Times New Roman" w:eastAsia="Times New Roman" w:hAnsi="Times New Roman" w:cs="Times New Roman"/>
      <w:b/>
      <w:bCs/>
      <w:color w:val="auto"/>
      <w:sz w:val="20"/>
      <w:szCs w:val="20"/>
      <w:lang w:val="en-US"/>
    </w:rPr>
  </w:style>
  <w:style w:type="paragraph" w:customStyle="1" w:styleId="FinancialStatementLineItem">
    <w:name w:val="Financial Statement Line Item"/>
    <w:basedOn w:val="Normal"/>
    <w:autoRedefine/>
    <w:rsid w:val="00A313BC"/>
    <w:pPr>
      <w:tabs>
        <w:tab w:val="left" w:pos="370"/>
      </w:tabs>
      <w:suppressAutoHyphens w:val="0"/>
      <w:spacing w:before="0" w:after="0" w:line="240" w:lineRule="auto"/>
      <w:ind w:left="170" w:right="113"/>
    </w:pPr>
    <w:rPr>
      <w:rFonts w:ascii="Times New Roman" w:eastAsia="Times New Roman" w:hAnsi="Times New Roman" w:cs="Times New Roman"/>
      <w:color w:val="auto"/>
      <w:sz w:val="20"/>
      <w:szCs w:val="20"/>
      <w:lang w:val="en-US"/>
    </w:rPr>
  </w:style>
  <w:style w:type="paragraph" w:customStyle="1" w:styleId="FinancialStatementSectionTotal">
    <w:name w:val="Financial Statement Section Total"/>
    <w:basedOn w:val="Normal"/>
    <w:autoRedefine/>
    <w:rsid w:val="00A313BC"/>
    <w:pPr>
      <w:suppressAutoHyphens w:val="0"/>
      <w:spacing w:before="0" w:after="0" w:line="240" w:lineRule="auto"/>
      <w:ind w:left="57" w:right="57"/>
    </w:pPr>
    <w:rPr>
      <w:rFonts w:ascii="Times New Roman" w:eastAsia="Times New Roman" w:hAnsi="Times New Roman" w:cs="Times New Roman"/>
      <w:b/>
      <w:bCs/>
      <w:i/>
      <w:iCs/>
      <w:color w:val="auto"/>
      <w:sz w:val="20"/>
      <w:szCs w:val="20"/>
      <w:lang w:val="en-US"/>
    </w:rPr>
  </w:style>
  <w:style w:type="paragraph" w:customStyle="1" w:styleId="CommentaryHeading2">
    <w:name w:val="Commentary Heading 2"/>
    <w:basedOn w:val="Normal"/>
    <w:autoRedefine/>
    <w:rsid w:val="00A313BC"/>
    <w:pPr>
      <w:keepNext/>
      <w:keepLines/>
      <w:suppressAutoHyphens w:val="0"/>
      <w:spacing w:before="120" w:after="120" w:line="240" w:lineRule="auto"/>
      <w:ind w:left="176" w:right="113"/>
    </w:pPr>
    <w:rPr>
      <w:rFonts w:ascii="Times New Roman" w:eastAsia="Times New Roman" w:hAnsi="Times New Roman" w:cs="Times New Roman"/>
      <w:i/>
      <w:iCs/>
      <w:color w:val="auto"/>
      <w:lang w:val="en-US"/>
    </w:rPr>
  </w:style>
  <w:style w:type="paragraph" w:customStyle="1" w:styleId="CommentaryTextBEFOREDotPoint">
    <w:name w:val="Commentary Text BEFORE Dot Point"/>
    <w:basedOn w:val="CommentaryText"/>
    <w:autoRedefine/>
    <w:rsid w:val="00A313BC"/>
    <w:pPr>
      <w:spacing w:after="0"/>
      <w:ind w:left="141" w:hanging="28"/>
    </w:pPr>
  </w:style>
  <w:style w:type="paragraph" w:customStyle="1" w:styleId="NotesTotal">
    <w:name w:val="Notes Total"/>
    <w:basedOn w:val="FinancialStatementSectionTotal"/>
    <w:autoRedefine/>
    <w:rsid w:val="00A313BC"/>
  </w:style>
  <w:style w:type="paragraph" w:customStyle="1" w:styleId="FinancialStatementLineItem-Indent">
    <w:name w:val="Financial Statement Line Item - Indent"/>
    <w:basedOn w:val="FinancialStatementLineItem"/>
    <w:rsid w:val="00A313BC"/>
  </w:style>
  <w:style w:type="paragraph" w:customStyle="1" w:styleId="Tabletext">
    <w:name w:val="Table text"/>
    <w:basedOn w:val="Normal"/>
    <w:rsid w:val="00A313BC"/>
    <w:pPr>
      <w:suppressAutoHyphens w:val="0"/>
      <w:spacing w:before="0" w:after="120" w:line="240" w:lineRule="auto"/>
    </w:pPr>
    <w:rPr>
      <w:rFonts w:ascii="Times New Roman" w:eastAsia="Times New Roman" w:hAnsi="Times New Roman" w:cs="Times New Roman"/>
      <w:color w:val="auto"/>
      <w:sz w:val="18"/>
      <w:szCs w:val="24"/>
    </w:rPr>
  </w:style>
  <w:style w:type="paragraph" w:customStyle="1" w:styleId="CorBase">
    <w:name w:val="Cor. Base"/>
    <w:rsid w:val="00A313BC"/>
    <w:pPr>
      <w:spacing w:before="120" w:after="120" w:line="240" w:lineRule="auto"/>
    </w:pPr>
    <w:rPr>
      <w:rFonts w:ascii="Times New Roman" w:eastAsia="Times New Roman" w:hAnsi="Times New Roman" w:cs="Times New Roman"/>
      <w:color w:val="auto"/>
      <w:szCs w:val="24"/>
      <w:lang w:eastAsia="en-AU"/>
    </w:rPr>
  </w:style>
  <w:style w:type="paragraph" w:styleId="PlainText">
    <w:name w:val="Plain Text"/>
    <w:basedOn w:val="Normal"/>
    <w:link w:val="PlainTextChar"/>
    <w:uiPriority w:val="99"/>
    <w:unhideWhenUsed/>
    <w:rsid w:val="00A313BC"/>
    <w:pPr>
      <w:suppressAutoHyphens w:val="0"/>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A313BC"/>
    <w:rPr>
      <w:rFonts w:ascii="Consolas" w:hAnsi="Consolas"/>
      <w:color w:val="auto"/>
      <w:sz w:val="21"/>
      <w:szCs w:val="21"/>
    </w:rPr>
  </w:style>
  <w:style w:type="character" w:customStyle="1" w:styleId="legtitle1">
    <w:name w:val="legtitle1"/>
    <w:basedOn w:val="DefaultParagraphFont"/>
    <w:rsid w:val="00A313BC"/>
    <w:rPr>
      <w:rFonts w:ascii="Helvetica Neue" w:hAnsi="Helvetica Neue" w:hint="default"/>
      <w:b/>
      <w:bCs/>
      <w:color w:val="10418E"/>
      <w:sz w:val="40"/>
      <w:szCs w:val="40"/>
    </w:rPr>
  </w:style>
  <w:style w:type="paragraph" w:styleId="DocumentMap">
    <w:name w:val="Document Map"/>
    <w:basedOn w:val="Normal"/>
    <w:link w:val="DocumentMapChar"/>
    <w:rsid w:val="00A313BC"/>
    <w:pPr>
      <w:suppressAutoHyphens w:val="0"/>
      <w:spacing w:before="0" w:after="0" w:line="240" w:lineRule="auto"/>
    </w:pPr>
    <w:rPr>
      <w:rFonts w:ascii="Tahoma" w:eastAsia="Times New Roman" w:hAnsi="Tahoma" w:cs="Tahoma"/>
      <w:color w:val="auto"/>
      <w:sz w:val="16"/>
      <w:szCs w:val="16"/>
      <w:lang w:val="en-US"/>
    </w:rPr>
  </w:style>
  <w:style w:type="character" w:customStyle="1" w:styleId="DocumentMapChar">
    <w:name w:val="Document Map Char"/>
    <w:basedOn w:val="DefaultParagraphFont"/>
    <w:link w:val="DocumentMap"/>
    <w:rsid w:val="00A313BC"/>
    <w:rPr>
      <w:rFonts w:ascii="Tahoma" w:eastAsia="Times New Roman" w:hAnsi="Tahoma" w:cs="Tahoma"/>
      <w:color w:val="auto"/>
      <w:sz w:val="16"/>
      <w:szCs w:val="16"/>
      <w:lang w:val="en-US"/>
    </w:rPr>
  </w:style>
  <w:style w:type="paragraph" w:styleId="EndnoteText">
    <w:name w:val="endnote text"/>
    <w:basedOn w:val="Normal"/>
    <w:link w:val="EndnoteTextChar"/>
    <w:rsid w:val="00A313BC"/>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A313BC"/>
    <w:rPr>
      <w:rFonts w:ascii="Arial" w:eastAsia="Times New Roman" w:hAnsi="Arial" w:cs="Times New Roman"/>
      <w:color w:val="auto"/>
      <w:sz w:val="20"/>
      <w:szCs w:val="20"/>
      <w:lang w:eastAsia="en-AU"/>
    </w:rPr>
  </w:style>
  <w:style w:type="character" w:styleId="EndnoteReference">
    <w:name w:val="endnote reference"/>
    <w:basedOn w:val="DefaultParagraphFont"/>
    <w:rsid w:val="00A313BC"/>
    <w:rPr>
      <w:vertAlign w:val="superscript"/>
    </w:rPr>
  </w:style>
  <w:style w:type="paragraph" w:customStyle="1" w:styleId="ps-520-table-left">
    <w:name w:val="ps-520-table-left"/>
    <w:basedOn w:val="Normal"/>
    <w:rsid w:val="00A313BC"/>
    <w:pPr>
      <w:suppressAutoHyphens w:val="0"/>
      <w:spacing w:before="100" w:after="100" w:line="240" w:lineRule="auto"/>
    </w:pPr>
    <w:rPr>
      <w:rFonts w:ascii="Verdana" w:eastAsia="Times New Roman" w:hAnsi="Verdana" w:cs="Times New Roman"/>
      <w:color w:val="000000"/>
      <w:sz w:val="18"/>
      <w:szCs w:val="18"/>
      <w:lang w:eastAsia="en-AU"/>
    </w:rPr>
  </w:style>
  <w:style w:type="paragraph" w:customStyle="1" w:styleId="EYNumber">
    <w:name w:val="EY Number"/>
    <w:basedOn w:val="Normal"/>
    <w:rsid w:val="00A313BC"/>
    <w:pPr>
      <w:numPr>
        <w:numId w:val="29"/>
      </w:numPr>
      <w:suppressAutoHyphens w:val="0"/>
      <w:spacing w:before="0" w:after="240" w:line="240" w:lineRule="auto"/>
      <w:outlineLvl w:val="0"/>
    </w:pPr>
    <w:rPr>
      <w:rFonts w:ascii="EYInterstate Light" w:eastAsia="Times New Roman" w:hAnsi="EYInterstate Light" w:cs="Times New Roman"/>
      <w:color w:val="auto"/>
      <w:kern w:val="12"/>
      <w:sz w:val="20"/>
      <w:szCs w:val="24"/>
    </w:rPr>
  </w:style>
  <w:style w:type="paragraph" w:customStyle="1" w:styleId="EYLetter">
    <w:name w:val="EY Letter"/>
    <w:basedOn w:val="EYNumber"/>
    <w:rsid w:val="00A313BC"/>
    <w:pPr>
      <w:numPr>
        <w:ilvl w:val="1"/>
      </w:numPr>
    </w:pPr>
  </w:style>
  <w:style w:type="paragraph" w:customStyle="1" w:styleId="EYRoman">
    <w:name w:val="EY Roman"/>
    <w:basedOn w:val="EYNumber"/>
    <w:rsid w:val="00A313BC"/>
    <w:pPr>
      <w:numPr>
        <w:ilvl w:val="2"/>
      </w:numPr>
    </w:pPr>
  </w:style>
  <w:style w:type="character" w:customStyle="1" w:styleId="EYBodytextwithparaspaceChar">
    <w:name w:val="EY Body text (with para space) Char"/>
    <w:basedOn w:val="DefaultParagraphFont"/>
    <w:link w:val="EYBodytextwithparaspace"/>
    <w:locked/>
    <w:rsid w:val="00A313BC"/>
    <w:rPr>
      <w:rFonts w:ascii="EYInterstate Light" w:hAnsi="EYInterstate Light"/>
      <w:szCs w:val="24"/>
    </w:rPr>
  </w:style>
  <w:style w:type="paragraph" w:customStyle="1" w:styleId="EYBodytextwithparaspace">
    <w:name w:val="EY Body text (with para space)"/>
    <w:basedOn w:val="Normal"/>
    <w:link w:val="EYBodytextwithparaspaceChar"/>
    <w:rsid w:val="00A313BC"/>
    <w:pPr>
      <w:keepLines/>
      <w:suppressAutoHyphens w:val="0"/>
      <w:spacing w:before="0" w:after="240" w:line="240" w:lineRule="auto"/>
      <w:outlineLvl w:val="0"/>
    </w:pPr>
    <w:rPr>
      <w:rFonts w:ascii="EYInterstate Light" w:hAnsi="EYInterstate Light"/>
      <w:color w:val="000000" w:themeColor="text1"/>
      <w:szCs w:val="24"/>
    </w:rPr>
  </w:style>
  <w:style w:type="paragraph" w:styleId="TOC5">
    <w:name w:val="toc 5"/>
    <w:basedOn w:val="Normal"/>
    <w:next w:val="Normal"/>
    <w:autoRedefine/>
    <w:uiPriority w:val="39"/>
    <w:unhideWhenUsed/>
    <w:rsid w:val="00A313BC"/>
    <w:pPr>
      <w:suppressAutoHyphens w:val="0"/>
      <w:spacing w:before="0" w:after="100" w:line="276"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A313BC"/>
    <w:pPr>
      <w:suppressAutoHyphens w:val="0"/>
      <w:spacing w:before="0" w:after="100" w:line="276"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A313BC"/>
    <w:pPr>
      <w:suppressAutoHyphens w:val="0"/>
      <w:spacing w:before="0" w:after="100" w:line="276"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A313BC"/>
    <w:pPr>
      <w:suppressAutoHyphens w:val="0"/>
      <w:spacing w:before="0" w:after="100" w:line="276"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A313BC"/>
    <w:pPr>
      <w:suppressAutoHyphens w:val="0"/>
      <w:spacing w:before="0" w:after="100" w:line="276" w:lineRule="auto"/>
      <w:ind w:left="1760"/>
    </w:pPr>
    <w:rPr>
      <w:rFonts w:asciiTheme="minorHAnsi" w:eastAsiaTheme="minorEastAsia" w:hAnsiTheme="minorHAnsi"/>
      <w:color w:val="auto"/>
      <w:lang w:eastAsia="en-AU"/>
    </w:rPr>
  </w:style>
  <w:style w:type="paragraph" w:customStyle="1" w:styleId="Numberedlist3">
    <w:name w:val="Numbered list 3"/>
    <w:basedOn w:val="NumberedList0"/>
    <w:rsid w:val="00A313BC"/>
    <w:pPr>
      <w:tabs>
        <w:tab w:val="clear" w:pos="567"/>
        <w:tab w:val="clear" w:pos="1134"/>
      </w:tabs>
      <w:ind w:left="1559" w:right="0" w:hanging="425"/>
    </w:pPr>
  </w:style>
  <w:style w:type="paragraph" w:customStyle="1" w:styleId="Note-TextHeader">
    <w:name w:val="Note - Text Header"/>
    <w:qFormat/>
    <w:rsid w:val="00A313BC"/>
    <w:pPr>
      <w:snapToGrid w:val="0"/>
      <w:spacing w:before="0" w:after="0" w:line="240" w:lineRule="auto"/>
      <w:contextualSpacing/>
    </w:pPr>
    <w:rPr>
      <w:rFonts w:ascii="Calibri" w:eastAsia="Times New Roman" w:hAnsi="Calibri" w:cs="Arial"/>
      <w:b/>
      <w:color w:val="auto"/>
      <w:szCs w:val="18"/>
      <w:lang w:eastAsia="ar-SA"/>
    </w:rPr>
  </w:style>
  <w:style w:type="paragraph" w:customStyle="1" w:styleId="NotesTable-ItemPlain">
    <w:name w:val="NotesTable - ItemPlain"/>
    <w:qFormat/>
    <w:rsid w:val="00A313BC"/>
    <w:pPr>
      <w:snapToGrid w:val="0"/>
      <w:spacing w:before="0" w:after="0" w:line="240" w:lineRule="auto"/>
      <w:ind w:right="57"/>
    </w:pPr>
    <w:rPr>
      <w:rFonts w:ascii="Calibri" w:eastAsiaTheme="minorEastAsia" w:hAnsi="Calibri" w:cs="Calibri"/>
      <w:iCs/>
      <w:color w:val="auto"/>
      <w:sz w:val="20"/>
      <w:szCs w:val="20"/>
      <w:lang w:val="en-GB" w:eastAsia="ar-SA"/>
    </w:rPr>
  </w:style>
  <w:style w:type="paragraph" w:customStyle="1" w:styleId="NotesTable-HeadBold">
    <w:name w:val="NotesTable - HeadBold"/>
    <w:rsid w:val="00A313BC"/>
    <w:pPr>
      <w:spacing w:before="0" w:after="0" w:line="240" w:lineRule="auto"/>
      <w:jc w:val="center"/>
    </w:pPr>
    <w:rPr>
      <w:rFonts w:ascii="Calibri" w:eastAsiaTheme="minorEastAsia" w:hAnsi="Calibri" w:cs="Arial"/>
      <w:b/>
      <w:color w:val="auto"/>
      <w:sz w:val="20"/>
      <w:szCs w:val="18"/>
      <w:lang w:eastAsia="ar-SA"/>
    </w:rPr>
  </w:style>
  <w:style w:type="paragraph" w:customStyle="1" w:styleId="NotesTable-CellBold">
    <w:name w:val="NotesTable - CellBold"/>
    <w:autoRedefine/>
    <w:rsid w:val="00A313BC"/>
    <w:pPr>
      <w:snapToGrid w:val="0"/>
      <w:spacing w:before="0" w:after="0" w:line="240" w:lineRule="auto"/>
      <w:ind w:left="-8" w:firstLine="22"/>
      <w:jc w:val="center"/>
    </w:pPr>
    <w:rPr>
      <w:rFonts w:ascii="Arial" w:eastAsiaTheme="minorEastAsia" w:hAnsi="Arial" w:cs="Arial"/>
      <w:bCs/>
      <w:color w:val="auto"/>
      <w:lang w:val="en-GB" w:eastAsia="ar-SA"/>
    </w:rPr>
  </w:style>
  <w:style w:type="paragraph" w:customStyle="1" w:styleId="NotesTable-Notes">
    <w:name w:val="NotesTable - Notes"/>
    <w:autoRedefine/>
    <w:rsid w:val="00A313BC"/>
    <w:pPr>
      <w:spacing w:before="0" w:after="0" w:line="240" w:lineRule="auto"/>
      <w:jc w:val="center"/>
    </w:pPr>
    <w:rPr>
      <w:rFonts w:ascii="Calibri" w:eastAsiaTheme="minorEastAsia" w:hAnsi="Calibri" w:cs="Arial"/>
      <w:color w:val="auto"/>
      <w:sz w:val="20"/>
      <w:szCs w:val="18"/>
      <w:lang w:eastAsia="ar-SA"/>
    </w:rPr>
  </w:style>
  <w:style w:type="paragraph" w:customStyle="1" w:styleId="NotesTable-HeadPlain">
    <w:name w:val="NotesTable - HeadPlain"/>
    <w:autoRedefine/>
    <w:rsid w:val="00A313BC"/>
    <w:pPr>
      <w:spacing w:before="0" w:after="0" w:line="240" w:lineRule="auto"/>
      <w:jc w:val="center"/>
    </w:pPr>
    <w:rPr>
      <w:rFonts w:ascii="Calibri" w:eastAsiaTheme="minorEastAsia" w:hAnsi="Calibri" w:cs="Arial"/>
      <w:color w:val="auto"/>
      <w:sz w:val="20"/>
      <w:szCs w:val="18"/>
      <w:lang w:eastAsia="ar-SA"/>
    </w:rPr>
  </w:style>
  <w:style w:type="paragraph" w:customStyle="1" w:styleId="NotesTable-CellPlain">
    <w:name w:val="NotesTable - CellPlain"/>
    <w:autoRedefine/>
    <w:rsid w:val="00A313BC"/>
    <w:pPr>
      <w:tabs>
        <w:tab w:val="left" w:pos="568"/>
      </w:tabs>
      <w:spacing w:before="0" w:after="0" w:line="240" w:lineRule="auto"/>
      <w:jc w:val="center"/>
    </w:pPr>
    <w:rPr>
      <w:rFonts w:ascii="Arial" w:eastAsiaTheme="minorEastAsia" w:hAnsi="Arial" w:cs="Arial"/>
      <w:color w:val="auto"/>
      <w:lang w:val="en-GB" w:eastAsia="ar-SA"/>
    </w:rPr>
  </w:style>
  <w:style w:type="paragraph" w:customStyle="1" w:styleId="NotesTable-ItemIndent">
    <w:name w:val="NotesTable - ItemIndent"/>
    <w:basedOn w:val="NotesTable-ItemPlain"/>
    <w:rsid w:val="00A313BC"/>
    <w:pPr>
      <w:ind w:left="340"/>
    </w:pPr>
  </w:style>
  <w:style w:type="paragraph" w:customStyle="1" w:styleId="Statement-ItemBold">
    <w:name w:val="Statement - ItemBold"/>
    <w:basedOn w:val="Normal"/>
    <w:rsid w:val="00A313BC"/>
    <w:pPr>
      <w:suppressAutoHyphens w:val="0"/>
      <w:snapToGrid w:val="0"/>
      <w:spacing w:before="0" w:after="0" w:line="240" w:lineRule="auto"/>
      <w:ind w:right="57"/>
    </w:pPr>
    <w:rPr>
      <w:rFonts w:eastAsiaTheme="minorEastAsia" w:cs="Calibri"/>
      <w:b/>
      <w:iCs/>
      <w:color w:val="auto"/>
      <w:sz w:val="20"/>
      <w:szCs w:val="20"/>
      <w:lang w:val="en-GB" w:eastAsia="ar-SA"/>
    </w:rPr>
  </w:style>
  <w:style w:type="paragraph" w:customStyle="1" w:styleId="NotesTable-ItemBold">
    <w:name w:val="NotesTable - ItemBold"/>
    <w:basedOn w:val="NotesTable-ItemPlain"/>
    <w:rsid w:val="00A313BC"/>
    <w:rPr>
      <w:b/>
    </w:rPr>
  </w:style>
  <w:style w:type="paragraph" w:customStyle="1" w:styleId="Note-Refs">
    <w:name w:val="Note - Refs"/>
    <w:qFormat/>
    <w:rsid w:val="00A313BC"/>
    <w:pPr>
      <w:spacing w:before="0" w:after="0" w:line="240" w:lineRule="auto"/>
      <w:ind w:left="57"/>
    </w:pPr>
    <w:rPr>
      <w:rFonts w:ascii="Calibri" w:eastAsiaTheme="minorEastAsia" w:hAnsi="Calibri" w:cs="Arial"/>
      <w:color w:val="auto"/>
      <w:sz w:val="18"/>
      <w:szCs w:val="16"/>
      <w:lang w:eastAsia="ar-SA"/>
    </w:rPr>
  </w:style>
  <w:style w:type="paragraph" w:customStyle="1" w:styleId="PolicyRef">
    <w:name w:val="Policy Ref"/>
    <w:basedOn w:val="Policy"/>
    <w:next w:val="Policy"/>
    <w:qFormat/>
    <w:rsid w:val="00A313BC"/>
    <w:rPr>
      <w:b/>
    </w:rPr>
  </w:style>
  <w:style w:type="paragraph" w:customStyle="1" w:styleId="Policysubhead">
    <w:name w:val="Policy subhead"/>
    <w:next w:val="PolicyRef"/>
    <w:qFormat/>
    <w:rsid w:val="00A313BC"/>
    <w:pPr>
      <w:spacing w:before="0" w:after="0" w:line="240" w:lineRule="auto"/>
    </w:pPr>
    <w:rPr>
      <w:rFonts w:ascii="Calibri" w:eastAsia="Arial" w:hAnsi="Calibri" w:cs="Arial"/>
      <w:b/>
      <w:i/>
      <w:color w:val="auto"/>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0E219CB6F3D4286DDF74E100281A4" ma:contentTypeVersion="21" ma:contentTypeDescription="Create a new document." ma:contentTypeScope="" ma:versionID="9eee680573595d3d3475197e4fc14a80">
  <xsd:schema xmlns:xsd="http://www.w3.org/2001/XMLSchema" xmlns:xs="http://www.w3.org/2001/XMLSchema" xmlns:p="http://schemas.microsoft.com/office/2006/metadata/properties" xmlns:ns2="98d081e4-9fda-4259-9c21-f6252df64e42" xmlns:ns3="e3b73d8f-9dbc-4760-97b2-3c47b0537f2e" targetNamespace="http://schemas.microsoft.com/office/2006/metadata/properties" ma:root="true" ma:fieldsID="e62450bee65949b6999b86e00e81cd84" ns2:_="" ns3:_="">
    <xsd:import namespace="98d081e4-9fda-4259-9c21-f6252df64e42"/>
    <xsd:import namespace="e3b73d8f-9dbc-4760-97b2-3c47b0537f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81e4-9fda-4259-9c21-f6252df64e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DateTaken" ma:index="7" nillable="true" ma:displayName="MediaServiceDateTaken" ma:hidden="true" ma:internalName="MediaServiceDateTaken" ma:readOnly="true">
      <xsd:simpleType>
        <xsd:restriction base="dms:Text"/>
      </xsd:simpleType>
    </xsd:element>
    <xsd:element name="MediaServiceLocation" ma:index="8" nillable="true" ma:displayName="Location" ma:internalName="MediaServiceLocatio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3d8f-9dbc-4760-97b2-3c47b0537f2e"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8d081e4-9fda-4259-9c21-f6252df64e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AA01E-A37A-4ED4-A7ED-85336C29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81e4-9fda-4259-9c21-f6252df64e42"/>
    <ds:schemaRef ds:uri="e3b73d8f-9dbc-4760-97b2-3c47b0537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29723-4474-49C9-8F18-E1998F7DD86E}">
  <ds:schemaRefs>
    <ds:schemaRef ds:uri="http://www.w3.org/XML/1998/namespace"/>
    <ds:schemaRef ds:uri="e3b73d8f-9dbc-4760-97b2-3c47b0537f2e"/>
    <ds:schemaRef ds:uri="http://purl.org/dc/elements/1.1/"/>
    <ds:schemaRef ds:uri="http://schemas.microsoft.com/office/2006/metadata/properties"/>
    <ds:schemaRef ds:uri="http://purl.org/dc/terms/"/>
    <ds:schemaRef ds:uri="98d081e4-9fda-4259-9c21-f6252df64e42"/>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1.15 and 1.16 Financial instruments complex</dc:title>
  <dc:subject/>
  <dc:creator>FairWorkCommission1@fwc.gov.au</dc:creator>
  <cp:keywords/>
  <dc:description/>
  <cp:lastModifiedBy>Rebecca Ng</cp:lastModifiedBy>
  <cp:revision>2</cp:revision>
  <cp:lastPrinted>2023-01-31T06:42:00Z</cp:lastPrinted>
  <dcterms:created xsi:type="dcterms:W3CDTF">2024-01-23T05:58:00Z</dcterms:created>
  <dcterms:modified xsi:type="dcterms:W3CDTF">2024-01-23T05:58:00Z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0x01010093B0E219CB6F3D4286DDF74E100281A4</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ies>
</file>